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8FB5" w14:textId="3C7B36E8" w:rsidR="00C952E8" w:rsidRDefault="00C74FEC" w:rsidP="00C952E8">
      <w:pPr>
        <w:rPr>
          <w:rFonts w:ascii="Arial" w:hAnsi="Arial" w:cs="Arial"/>
        </w:rPr>
      </w:pPr>
      <w:r>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587C904D" wp14:editId="79179D88">
                <wp:simplePos x="0" y="0"/>
                <wp:positionH relativeFrom="column">
                  <wp:posOffset>4295775</wp:posOffset>
                </wp:positionH>
                <wp:positionV relativeFrom="paragraph">
                  <wp:posOffset>-463550</wp:posOffset>
                </wp:positionV>
                <wp:extent cx="2299335" cy="328295"/>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C9063" w14:textId="23BD2A2D" w:rsidR="00CE326A" w:rsidRPr="00FB7F6F" w:rsidRDefault="00CE326A" w:rsidP="00C952E8">
                            <w:pPr>
                              <w:jc w:val="center"/>
                              <w:rPr>
                                <w:rFonts w:ascii="Arial" w:hAnsi="Arial" w:cs="Arial"/>
                                <w:b/>
                                <w:sz w:val="24"/>
                                <w:szCs w:val="24"/>
                              </w:rPr>
                            </w:pPr>
                            <w:r w:rsidRPr="00FB7F6F">
                              <w:rPr>
                                <w:rFonts w:ascii="Arial" w:hAnsi="Arial" w:cs="Arial"/>
                                <w:b/>
                                <w:sz w:val="24"/>
                                <w:szCs w:val="24"/>
                              </w:rPr>
                              <w:t xml:space="preserve">Paper </w:t>
                            </w:r>
                            <w:r>
                              <w:rPr>
                                <w:rFonts w:ascii="Arial" w:hAnsi="Arial" w:cs="Arial"/>
                                <w:b/>
                                <w:sz w:val="24"/>
                                <w:szCs w:val="24"/>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C904D" id="_x0000_t202" coordsize="21600,21600" o:spt="202" path="m,l,21600r21600,l21600,xe">
                <v:stroke joinstyle="miter"/>
                <v:path gradientshapeok="t" o:connecttype="rect"/>
              </v:shapetype>
              <v:shape id="Text Box 10" o:spid="_x0000_s1026" type="#_x0000_t202" style="position:absolute;margin-left:338.25pt;margin-top:-36.5pt;width:181.0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" stroked="f">
                <v:textbox>
                  <w:txbxContent>
                    <w:p w14:paraId="587C9063" w14:textId="23BD2A2D" w:rsidR="00CE326A" w:rsidRPr="00FB7F6F" w:rsidRDefault="00CE326A" w:rsidP="00C952E8">
                      <w:pPr>
                        <w:jc w:val="center"/>
                        <w:rPr>
                          <w:rFonts w:ascii="Arial" w:hAnsi="Arial" w:cs="Arial"/>
                          <w:b/>
                          <w:sz w:val="24"/>
                          <w:szCs w:val="24"/>
                        </w:rPr>
                      </w:pPr>
                      <w:r w:rsidRPr="00FB7F6F">
                        <w:rPr>
                          <w:rFonts w:ascii="Arial" w:hAnsi="Arial" w:cs="Arial"/>
                          <w:b/>
                          <w:sz w:val="24"/>
                          <w:szCs w:val="24"/>
                        </w:rPr>
                        <w:t xml:space="preserve">Paper </w:t>
                      </w:r>
                      <w:r>
                        <w:rPr>
                          <w:rFonts w:ascii="Arial" w:hAnsi="Arial" w:cs="Arial"/>
                          <w:b/>
                          <w:sz w:val="24"/>
                          <w:szCs w:val="24"/>
                        </w:rPr>
                        <w:t>X</w:t>
                      </w:r>
                    </w:p>
                  </w:txbxContent>
                </v:textbox>
              </v:shape>
            </w:pict>
          </mc:Fallback>
        </mc:AlternateContent>
      </w:r>
    </w:p>
    <w:p w14:paraId="587C8FB6" w14:textId="71EA16D7" w:rsidR="00C952E8" w:rsidRDefault="00C952E8" w:rsidP="00C952E8">
      <w:pPr>
        <w:jc w:val="center"/>
        <w:rPr>
          <w:rFonts w:ascii="Arial" w:hAnsi="Arial" w:cs="Arial"/>
        </w:rPr>
      </w:pPr>
    </w:p>
    <w:p w14:paraId="587C8FB7" w14:textId="61BCF85A" w:rsidR="00C952E8" w:rsidRDefault="00C952E8" w:rsidP="00C952E8">
      <w:pPr>
        <w:rPr>
          <w:rFonts w:ascii="Arial" w:hAnsi="Arial" w:cs="Arial"/>
        </w:rPr>
      </w:pPr>
    </w:p>
    <w:p w14:paraId="587C8FB8" w14:textId="77777777" w:rsidR="00C952E8" w:rsidRPr="007C04A9" w:rsidRDefault="00C952E8" w:rsidP="00C952E8">
      <w:pPr>
        <w:jc w:val="center"/>
        <w:rPr>
          <w:rFonts w:ascii="Arial" w:eastAsia="Times New Roman" w:hAnsi="Arial" w:cs="Arial"/>
          <w:b/>
          <w:sz w:val="24"/>
          <w:szCs w:val="24"/>
        </w:rPr>
      </w:pPr>
      <w:r w:rsidRPr="0049787D">
        <w:rPr>
          <w:rFonts w:ascii="Arial" w:hAnsi="Arial" w:cs="Arial"/>
          <w:b/>
        </w:rPr>
        <w:t xml:space="preserve">COVER SHEET FOR PAPERS TO BE CONSIDERED BY </w:t>
      </w:r>
      <w:r>
        <w:rPr>
          <w:rFonts w:ascii="Arial" w:hAnsi="Arial" w:cs="Arial"/>
          <w:b/>
        </w:rPr>
        <w:t xml:space="preserve">EXECUTIVE TEAM </w:t>
      </w:r>
    </w:p>
    <w:p w14:paraId="587C8FBA" w14:textId="4C4AF920" w:rsidR="00C952E8" w:rsidRDefault="00C952E8" w:rsidP="00C952E8">
      <w:pPr>
        <w:jc w:val="right"/>
        <w:rPr>
          <w:rFonts w:ascii="Arial" w:hAnsi="Arial" w:cs="Arial"/>
          <w:sz w:val="18"/>
          <w:szCs w:val="18"/>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6968"/>
      </w:tblGrid>
      <w:tr w:rsidR="00C952E8" w:rsidRPr="00790826" w14:paraId="587C8FBE" w14:textId="77777777" w:rsidTr="00A2713C">
        <w:tc>
          <w:tcPr>
            <w:tcW w:w="5000" w:type="pct"/>
            <w:gridSpan w:val="2"/>
            <w:tcBorders>
              <w:top w:val="single" w:sz="4" w:space="0" w:color="auto"/>
              <w:left w:val="single" w:sz="4" w:space="0" w:color="auto"/>
              <w:bottom w:val="single" w:sz="4" w:space="0" w:color="auto"/>
              <w:right w:val="single" w:sz="4" w:space="0" w:color="auto"/>
            </w:tcBorders>
          </w:tcPr>
          <w:p w14:paraId="587C8FBB" w14:textId="77777777" w:rsidR="00C952E8" w:rsidRPr="00A63107" w:rsidRDefault="00C952E8" w:rsidP="00A2713C">
            <w:pPr>
              <w:jc w:val="center"/>
              <w:rPr>
                <w:rFonts w:ascii="Arial" w:hAnsi="Arial" w:cs="Arial"/>
                <w:b/>
              </w:rPr>
            </w:pPr>
          </w:p>
          <w:p w14:paraId="587C8FBC" w14:textId="6F6135E3" w:rsidR="00C952E8" w:rsidRPr="00A63107" w:rsidRDefault="00FE6E50" w:rsidP="00A2713C">
            <w:pPr>
              <w:jc w:val="center"/>
              <w:rPr>
                <w:rFonts w:ascii="Arial" w:hAnsi="Arial" w:cs="Arial"/>
                <w:b/>
              </w:rPr>
            </w:pPr>
            <w:r>
              <w:rPr>
                <w:rFonts w:ascii="Arial" w:hAnsi="Arial" w:cs="Arial"/>
                <w:b/>
              </w:rPr>
              <w:t>Q</w:t>
            </w:r>
            <w:r w:rsidR="00856B59">
              <w:rPr>
                <w:rFonts w:ascii="Arial" w:hAnsi="Arial" w:cs="Arial"/>
                <w:b/>
              </w:rPr>
              <w:t>1</w:t>
            </w:r>
            <w:r>
              <w:rPr>
                <w:rFonts w:ascii="Arial" w:hAnsi="Arial" w:cs="Arial"/>
                <w:b/>
              </w:rPr>
              <w:t xml:space="preserve"> Complaints Handling</w:t>
            </w:r>
            <w:r w:rsidR="00C952E8" w:rsidRPr="00A63107">
              <w:rPr>
                <w:rFonts w:ascii="Arial" w:hAnsi="Arial" w:cs="Arial"/>
                <w:b/>
              </w:rPr>
              <w:t xml:space="preserve"> </w:t>
            </w:r>
            <w:r w:rsidR="00C952E8">
              <w:rPr>
                <w:rFonts w:ascii="Arial" w:hAnsi="Arial" w:cs="Arial"/>
                <w:b/>
              </w:rPr>
              <w:t>Report</w:t>
            </w:r>
            <w:r w:rsidR="00FB7F6F">
              <w:rPr>
                <w:rFonts w:ascii="Arial" w:hAnsi="Arial" w:cs="Arial"/>
                <w:b/>
              </w:rPr>
              <w:t xml:space="preserve"> </w:t>
            </w:r>
            <w:r w:rsidR="00CF526F">
              <w:rPr>
                <w:rFonts w:ascii="Arial" w:hAnsi="Arial" w:cs="Arial"/>
                <w:b/>
              </w:rPr>
              <w:t>202</w:t>
            </w:r>
            <w:r w:rsidR="00856B59">
              <w:rPr>
                <w:rFonts w:ascii="Arial" w:hAnsi="Arial" w:cs="Arial"/>
                <w:b/>
              </w:rPr>
              <w:t>3/24</w:t>
            </w:r>
          </w:p>
          <w:p w14:paraId="587C8FBD" w14:textId="77777777" w:rsidR="00C952E8" w:rsidRPr="00A63107" w:rsidRDefault="00C952E8" w:rsidP="00A2713C">
            <w:pPr>
              <w:jc w:val="center"/>
              <w:rPr>
                <w:rFonts w:ascii="Arial" w:hAnsi="Arial" w:cs="Arial"/>
                <w:b/>
              </w:rPr>
            </w:pPr>
          </w:p>
        </w:tc>
      </w:tr>
      <w:tr w:rsidR="00C952E8" w:rsidRPr="00790826" w14:paraId="587C8FC1" w14:textId="77777777" w:rsidTr="00A2713C">
        <w:tc>
          <w:tcPr>
            <w:tcW w:w="1325" w:type="pct"/>
            <w:tcBorders>
              <w:top w:val="single" w:sz="4" w:space="0" w:color="auto"/>
              <w:left w:val="single" w:sz="4" w:space="0" w:color="auto"/>
              <w:bottom w:val="single" w:sz="4" w:space="0" w:color="auto"/>
              <w:right w:val="nil"/>
            </w:tcBorders>
          </w:tcPr>
          <w:p w14:paraId="587C8FBF" w14:textId="64B0408B" w:rsidR="00C952E8" w:rsidRPr="00790826" w:rsidRDefault="00C952E8" w:rsidP="00A2713C">
            <w:pPr>
              <w:spacing w:before="120" w:after="120" w:line="276" w:lineRule="auto"/>
              <w:rPr>
                <w:rFonts w:ascii="Arial" w:hAnsi="Arial" w:cs="Arial"/>
                <w:b/>
              </w:rPr>
            </w:pPr>
            <w:r w:rsidRPr="00790826">
              <w:rPr>
                <w:rFonts w:ascii="Arial" w:hAnsi="Arial" w:cs="Arial"/>
                <w:b/>
              </w:rPr>
              <w:t>Date of Meeting:</w:t>
            </w:r>
            <w:r w:rsidR="001B332B">
              <w:rPr>
                <w:rFonts w:ascii="Arial" w:hAnsi="Arial" w:cs="Arial"/>
                <w:b/>
              </w:rPr>
              <w:t xml:space="preserve">  </w:t>
            </w:r>
            <w:r w:rsidRPr="00790826">
              <w:rPr>
                <w:rFonts w:ascii="Arial" w:hAnsi="Arial" w:cs="Arial"/>
                <w:b/>
              </w:rPr>
              <w:t xml:space="preserve"> </w:t>
            </w:r>
          </w:p>
        </w:tc>
        <w:tc>
          <w:tcPr>
            <w:tcW w:w="3675" w:type="pct"/>
            <w:tcBorders>
              <w:top w:val="single" w:sz="4" w:space="0" w:color="auto"/>
              <w:left w:val="nil"/>
              <w:bottom w:val="dashed" w:sz="4" w:space="0" w:color="auto"/>
              <w:right w:val="single" w:sz="4" w:space="0" w:color="auto"/>
            </w:tcBorders>
          </w:tcPr>
          <w:p w14:paraId="587C8FC0" w14:textId="3F0A0762" w:rsidR="00C952E8" w:rsidRPr="00790826" w:rsidRDefault="00856B59" w:rsidP="00061058">
            <w:pPr>
              <w:spacing w:before="120" w:after="120"/>
              <w:rPr>
                <w:rFonts w:ascii="Arial" w:hAnsi="Arial" w:cs="Arial"/>
              </w:rPr>
            </w:pPr>
            <w:r>
              <w:rPr>
                <w:rFonts w:ascii="Arial" w:hAnsi="Arial" w:cs="Arial"/>
              </w:rPr>
              <w:t>20 December</w:t>
            </w:r>
            <w:r w:rsidR="0063020B">
              <w:rPr>
                <w:rFonts w:ascii="Arial" w:hAnsi="Arial" w:cs="Arial"/>
              </w:rPr>
              <w:t xml:space="preserve"> </w:t>
            </w:r>
            <w:r w:rsidR="007E06D5">
              <w:rPr>
                <w:rFonts w:ascii="Arial" w:hAnsi="Arial" w:cs="Arial"/>
              </w:rPr>
              <w:t>2023</w:t>
            </w:r>
          </w:p>
        </w:tc>
      </w:tr>
      <w:tr w:rsidR="00C952E8" w:rsidRPr="00790826" w14:paraId="587C8FC5" w14:textId="77777777" w:rsidTr="00A2713C">
        <w:tc>
          <w:tcPr>
            <w:tcW w:w="1325" w:type="pct"/>
            <w:tcBorders>
              <w:top w:val="single" w:sz="4" w:space="0" w:color="auto"/>
              <w:left w:val="single" w:sz="4" w:space="0" w:color="auto"/>
              <w:bottom w:val="single" w:sz="4" w:space="0" w:color="auto"/>
              <w:right w:val="nil"/>
            </w:tcBorders>
          </w:tcPr>
          <w:p w14:paraId="587C8FC2" w14:textId="39F44E6F" w:rsidR="00C952E8" w:rsidRPr="005E0F01" w:rsidRDefault="00C952E8" w:rsidP="00A2713C">
            <w:pPr>
              <w:spacing w:before="120" w:after="120" w:line="276" w:lineRule="auto"/>
              <w:rPr>
                <w:rFonts w:ascii="Arial" w:hAnsi="Arial" w:cs="Arial"/>
              </w:rPr>
            </w:pPr>
            <w:r w:rsidRPr="005E0F01">
              <w:rPr>
                <w:rFonts w:ascii="Arial" w:hAnsi="Arial" w:cs="Arial"/>
                <w:b/>
              </w:rPr>
              <w:t>Purpose of Paper:</w:t>
            </w:r>
            <w:r w:rsidR="001B332B">
              <w:rPr>
                <w:rFonts w:ascii="Arial" w:hAnsi="Arial" w:cs="Arial"/>
              </w:rPr>
              <w:t xml:space="preserve">  </w:t>
            </w:r>
          </w:p>
        </w:tc>
        <w:tc>
          <w:tcPr>
            <w:tcW w:w="3675" w:type="pct"/>
            <w:tcBorders>
              <w:top w:val="single" w:sz="4" w:space="0" w:color="auto"/>
              <w:left w:val="nil"/>
              <w:bottom w:val="dashed" w:sz="4" w:space="0" w:color="auto"/>
              <w:right w:val="single" w:sz="4" w:space="0" w:color="auto"/>
            </w:tcBorders>
          </w:tcPr>
          <w:p w14:paraId="587C8FC3" w14:textId="77777777" w:rsidR="00C952E8" w:rsidRPr="00B65C5D" w:rsidRDefault="00C952E8" w:rsidP="007A3AF8">
            <w:pPr>
              <w:ind w:right="166"/>
              <w:rPr>
                <w:rFonts w:ascii="Arial" w:hAnsi="Arial" w:cs="Arial"/>
                <w:sz w:val="8"/>
                <w:szCs w:val="8"/>
              </w:rPr>
            </w:pPr>
          </w:p>
          <w:p w14:paraId="37DF9AD9" w14:textId="47DD07C2" w:rsidR="00C952E8" w:rsidRDefault="00C952E8" w:rsidP="007A3AF8">
            <w:pPr>
              <w:ind w:right="166"/>
              <w:jc w:val="both"/>
              <w:rPr>
                <w:rFonts w:ascii="Arial" w:hAnsi="Arial" w:cs="Arial"/>
              </w:rPr>
            </w:pPr>
            <w:r>
              <w:rPr>
                <w:rFonts w:ascii="Arial" w:hAnsi="Arial" w:cs="Arial"/>
              </w:rPr>
              <w:t xml:space="preserve">To report key performance information on complaints handling to </w:t>
            </w:r>
            <w:r w:rsidR="00935942">
              <w:rPr>
                <w:rFonts w:ascii="Arial" w:hAnsi="Arial" w:cs="Arial"/>
              </w:rPr>
              <w:t xml:space="preserve">the </w:t>
            </w:r>
            <w:r>
              <w:rPr>
                <w:rFonts w:ascii="Arial" w:hAnsi="Arial" w:cs="Arial"/>
              </w:rPr>
              <w:t>Executive Team</w:t>
            </w:r>
            <w:r w:rsidR="00C2257C">
              <w:rPr>
                <w:rFonts w:ascii="Arial" w:hAnsi="Arial" w:cs="Arial"/>
              </w:rPr>
              <w:t xml:space="preserve"> (ET)</w:t>
            </w:r>
            <w:r>
              <w:rPr>
                <w:rFonts w:ascii="Arial" w:hAnsi="Arial" w:cs="Arial"/>
              </w:rPr>
              <w:t xml:space="preserve">, including the volume and types of complaints recorded by the University during the </w:t>
            </w:r>
            <w:r w:rsidR="00856B59">
              <w:rPr>
                <w:rFonts w:ascii="Arial" w:hAnsi="Arial" w:cs="Arial"/>
              </w:rPr>
              <w:t>first</w:t>
            </w:r>
            <w:r w:rsidR="007E06D5">
              <w:rPr>
                <w:rFonts w:ascii="Arial" w:hAnsi="Arial" w:cs="Arial"/>
              </w:rPr>
              <w:t xml:space="preserve"> quarter </w:t>
            </w:r>
            <w:r>
              <w:rPr>
                <w:rFonts w:ascii="Arial" w:hAnsi="Arial" w:cs="Arial"/>
              </w:rPr>
              <w:t>of</w:t>
            </w:r>
            <w:r w:rsidR="007E06D5">
              <w:rPr>
                <w:rFonts w:ascii="Arial" w:hAnsi="Arial" w:cs="Arial"/>
              </w:rPr>
              <w:t xml:space="preserve"> the</w:t>
            </w:r>
            <w:r>
              <w:rPr>
                <w:rFonts w:ascii="Arial" w:hAnsi="Arial" w:cs="Arial"/>
              </w:rPr>
              <w:t xml:space="preserve"> academic year </w:t>
            </w:r>
            <w:r w:rsidR="007C341E">
              <w:rPr>
                <w:rFonts w:ascii="Arial" w:hAnsi="Arial" w:cs="Arial"/>
              </w:rPr>
              <w:t>20</w:t>
            </w:r>
            <w:r w:rsidR="00C74FEC">
              <w:rPr>
                <w:rFonts w:ascii="Arial" w:hAnsi="Arial" w:cs="Arial"/>
              </w:rPr>
              <w:t>2</w:t>
            </w:r>
            <w:r w:rsidR="00856B59">
              <w:rPr>
                <w:rFonts w:ascii="Arial" w:hAnsi="Arial" w:cs="Arial"/>
              </w:rPr>
              <w:t>3/24</w:t>
            </w:r>
            <w:r w:rsidR="00C74FEC">
              <w:rPr>
                <w:rFonts w:ascii="Arial" w:hAnsi="Arial" w:cs="Arial"/>
              </w:rPr>
              <w:t>.</w:t>
            </w:r>
          </w:p>
          <w:p w14:paraId="587C8FC4" w14:textId="3CFFAEBF" w:rsidR="00C74FEC" w:rsidRPr="005E0F01" w:rsidRDefault="00C74FEC" w:rsidP="007A3AF8">
            <w:pPr>
              <w:ind w:right="166"/>
              <w:rPr>
                <w:rFonts w:ascii="Arial" w:hAnsi="Arial" w:cs="Arial"/>
              </w:rPr>
            </w:pPr>
          </w:p>
        </w:tc>
      </w:tr>
      <w:tr w:rsidR="00C952E8" w:rsidRPr="00790826" w14:paraId="587C8FC8" w14:textId="77777777" w:rsidTr="00A2713C">
        <w:tc>
          <w:tcPr>
            <w:tcW w:w="1325" w:type="pct"/>
            <w:tcBorders>
              <w:top w:val="single" w:sz="4" w:space="0" w:color="auto"/>
              <w:left w:val="single" w:sz="4" w:space="0" w:color="auto"/>
              <w:bottom w:val="single" w:sz="4" w:space="0" w:color="auto"/>
              <w:right w:val="nil"/>
            </w:tcBorders>
          </w:tcPr>
          <w:p w14:paraId="587C8FC6" w14:textId="77777777" w:rsidR="00C952E8" w:rsidRPr="005E0F01" w:rsidRDefault="00C952E8" w:rsidP="00A2713C">
            <w:pPr>
              <w:spacing w:before="120" w:after="120" w:line="276" w:lineRule="auto"/>
              <w:rPr>
                <w:rFonts w:ascii="Arial" w:hAnsi="Arial" w:cs="Arial"/>
              </w:rPr>
            </w:pPr>
            <w:r w:rsidRPr="005E0F01">
              <w:rPr>
                <w:rFonts w:ascii="Arial" w:hAnsi="Arial" w:cs="Arial"/>
                <w:b/>
              </w:rPr>
              <w:t>Intended Outcome:</w:t>
            </w:r>
          </w:p>
        </w:tc>
        <w:tc>
          <w:tcPr>
            <w:tcW w:w="3675" w:type="pct"/>
            <w:tcBorders>
              <w:top w:val="single" w:sz="4" w:space="0" w:color="auto"/>
              <w:left w:val="nil"/>
              <w:bottom w:val="nil"/>
              <w:right w:val="single" w:sz="4" w:space="0" w:color="auto"/>
            </w:tcBorders>
          </w:tcPr>
          <w:p w14:paraId="587C8FC7" w14:textId="7F473B39" w:rsidR="00C952E8" w:rsidRPr="005E0F01" w:rsidRDefault="00C2257C" w:rsidP="007A3AF8">
            <w:pPr>
              <w:spacing w:before="120" w:after="120"/>
              <w:ind w:right="166"/>
              <w:jc w:val="both"/>
              <w:rPr>
                <w:rFonts w:ascii="Arial" w:hAnsi="Arial" w:cs="Arial"/>
              </w:rPr>
            </w:pPr>
            <w:r>
              <w:rPr>
                <w:rFonts w:ascii="Arial" w:hAnsi="Arial" w:cs="Arial"/>
              </w:rPr>
              <w:t>ET</w:t>
            </w:r>
            <w:r w:rsidR="00D74812" w:rsidRPr="004D5F66">
              <w:rPr>
                <w:rFonts w:ascii="Arial" w:hAnsi="Arial" w:cs="Arial"/>
              </w:rPr>
              <w:t xml:space="preserve"> is invited to </w:t>
            </w:r>
            <w:r w:rsidR="00D74812" w:rsidRPr="004D5F66">
              <w:rPr>
                <w:rFonts w:ascii="Arial" w:hAnsi="Arial" w:cs="Arial"/>
                <w:b/>
              </w:rPr>
              <w:t>note</w:t>
            </w:r>
            <w:r w:rsidR="00D74812" w:rsidRPr="004D5F66">
              <w:rPr>
                <w:rFonts w:ascii="Arial" w:hAnsi="Arial" w:cs="Arial"/>
              </w:rPr>
              <w:t xml:space="preserve"> the information provided</w:t>
            </w:r>
            <w:r>
              <w:rPr>
                <w:rFonts w:ascii="Arial" w:hAnsi="Arial" w:cs="Arial"/>
              </w:rPr>
              <w:t>,</w:t>
            </w:r>
            <w:r w:rsidR="00D74812" w:rsidRPr="004D5F66">
              <w:rPr>
                <w:rFonts w:ascii="Arial" w:hAnsi="Arial" w:cs="Arial"/>
              </w:rPr>
              <w:t xml:space="preserve"> as required by the University’s Complaints Handling Policy</w:t>
            </w:r>
            <w:r w:rsidR="00014737">
              <w:rPr>
                <w:rFonts w:ascii="Arial" w:hAnsi="Arial" w:cs="Arial"/>
              </w:rPr>
              <w:t xml:space="preserve">. </w:t>
            </w:r>
          </w:p>
        </w:tc>
      </w:tr>
      <w:tr w:rsidR="00C952E8" w:rsidRPr="00790826" w14:paraId="587C8FCB" w14:textId="77777777" w:rsidTr="00A2713C">
        <w:tc>
          <w:tcPr>
            <w:tcW w:w="1325" w:type="pct"/>
            <w:tcBorders>
              <w:right w:val="nil"/>
            </w:tcBorders>
          </w:tcPr>
          <w:p w14:paraId="587C8FC9" w14:textId="77777777" w:rsidR="00C952E8" w:rsidRPr="005E0F01" w:rsidRDefault="00C952E8" w:rsidP="00A2713C">
            <w:pPr>
              <w:spacing w:before="120" w:after="120" w:line="276" w:lineRule="auto"/>
              <w:rPr>
                <w:rFonts w:ascii="Arial" w:hAnsi="Arial" w:cs="Arial"/>
              </w:rPr>
            </w:pPr>
            <w:r w:rsidRPr="005E0F01">
              <w:rPr>
                <w:rFonts w:ascii="Arial" w:hAnsi="Arial" w:cs="Arial"/>
                <w:b/>
              </w:rPr>
              <w:t>Paper Submitted by:</w:t>
            </w:r>
          </w:p>
        </w:tc>
        <w:tc>
          <w:tcPr>
            <w:tcW w:w="3675" w:type="pct"/>
            <w:tcBorders>
              <w:left w:val="nil"/>
            </w:tcBorders>
          </w:tcPr>
          <w:p w14:paraId="587C8FCA" w14:textId="77777777" w:rsidR="00C952E8" w:rsidRPr="005E0F01" w:rsidRDefault="00C952E8" w:rsidP="00A2713C">
            <w:pPr>
              <w:spacing w:before="120" w:after="120"/>
              <w:rPr>
                <w:rFonts w:ascii="Arial" w:hAnsi="Arial" w:cs="Arial"/>
              </w:rPr>
            </w:pPr>
            <w:r>
              <w:rPr>
                <w:rFonts w:ascii="Arial" w:hAnsi="Arial" w:cs="Arial"/>
              </w:rPr>
              <w:t xml:space="preserve">Strategy and Policy </w:t>
            </w:r>
          </w:p>
        </w:tc>
      </w:tr>
      <w:tr w:rsidR="00C952E8" w:rsidRPr="00790826" w14:paraId="587C8FCE" w14:textId="77777777" w:rsidTr="00A2713C">
        <w:tc>
          <w:tcPr>
            <w:tcW w:w="1325" w:type="pct"/>
            <w:tcBorders>
              <w:right w:val="nil"/>
            </w:tcBorders>
          </w:tcPr>
          <w:p w14:paraId="587C8FCC" w14:textId="77777777" w:rsidR="00C952E8" w:rsidRPr="005E0F01" w:rsidRDefault="00C952E8" w:rsidP="00A2713C">
            <w:pPr>
              <w:spacing w:before="120" w:after="120" w:line="276" w:lineRule="auto"/>
              <w:rPr>
                <w:rFonts w:ascii="Arial" w:hAnsi="Arial" w:cs="Arial"/>
              </w:rPr>
            </w:pPr>
            <w:r w:rsidRPr="005E0F01">
              <w:rPr>
                <w:rFonts w:ascii="Arial" w:hAnsi="Arial" w:cs="Arial"/>
                <w:b/>
              </w:rPr>
              <w:t>P</w:t>
            </w:r>
            <w:r>
              <w:rPr>
                <w:rFonts w:ascii="Arial" w:hAnsi="Arial" w:cs="Arial"/>
                <w:b/>
              </w:rPr>
              <w:t>rior Committee Approvals</w:t>
            </w:r>
            <w:r w:rsidRPr="005E0F01">
              <w:rPr>
                <w:rFonts w:ascii="Arial" w:hAnsi="Arial" w:cs="Arial"/>
                <w:b/>
              </w:rPr>
              <w:t>:</w:t>
            </w:r>
          </w:p>
        </w:tc>
        <w:tc>
          <w:tcPr>
            <w:tcW w:w="3675" w:type="pct"/>
            <w:tcBorders>
              <w:left w:val="nil"/>
            </w:tcBorders>
          </w:tcPr>
          <w:p w14:paraId="587C8FCD" w14:textId="77777777" w:rsidR="00C952E8" w:rsidRPr="005E0F01" w:rsidRDefault="00C952E8" w:rsidP="00A2713C">
            <w:pPr>
              <w:spacing w:before="120" w:after="120"/>
              <w:rPr>
                <w:rFonts w:ascii="Arial" w:hAnsi="Arial" w:cs="Arial"/>
              </w:rPr>
            </w:pPr>
            <w:r>
              <w:rPr>
                <w:rFonts w:ascii="Arial" w:hAnsi="Arial" w:cs="Arial"/>
              </w:rPr>
              <w:t>N/A</w:t>
            </w:r>
          </w:p>
        </w:tc>
      </w:tr>
      <w:tr w:rsidR="00C952E8" w:rsidRPr="00790826" w14:paraId="587C8FD1" w14:textId="77777777" w:rsidTr="00A2713C">
        <w:tc>
          <w:tcPr>
            <w:tcW w:w="1325" w:type="pct"/>
            <w:tcBorders>
              <w:right w:val="nil"/>
            </w:tcBorders>
          </w:tcPr>
          <w:p w14:paraId="587C8FCF" w14:textId="77777777" w:rsidR="00C952E8" w:rsidRPr="005E0F01" w:rsidRDefault="00C952E8" w:rsidP="00A2713C">
            <w:pPr>
              <w:spacing w:before="120" w:after="120" w:line="276" w:lineRule="auto"/>
              <w:rPr>
                <w:rFonts w:ascii="Arial" w:hAnsi="Arial" w:cs="Arial"/>
                <w:b/>
              </w:rPr>
            </w:pPr>
            <w:r w:rsidRPr="005E0F01">
              <w:rPr>
                <w:rFonts w:ascii="Arial" w:hAnsi="Arial" w:cs="Arial"/>
                <w:b/>
              </w:rPr>
              <w:t>Financial Implications:</w:t>
            </w:r>
          </w:p>
        </w:tc>
        <w:tc>
          <w:tcPr>
            <w:tcW w:w="3675" w:type="pct"/>
            <w:tcBorders>
              <w:left w:val="nil"/>
            </w:tcBorders>
          </w:tcPr>
          <w:p w14:paraId="587C8FD0" w14:textId="77777777" w:rsidR="00C952E8" w:rsidRPr="005E0F01" w:rsidRDefault="00C952E8" w:rsidP="00A2713C">
            <w:pPr>
              <w:tabs>
                <w:tab w:val="center" w:pos="3661"/>
              </w:tabs>
              <w:spacing w:before="120" w:after="120"/>
              <w:rPr>
                <w:rFonts w:ascii="Arial" w:hAnsi="Arial" w:cs="Arial"/>
              </w:rPr>
            </w:pPr>
            <w:r>
              <w:rPr>
                <w:rFonts w:ascii="Arial" w:hAnsi="Arial" w:cs="Arial"/>
              </w:rPr>
              <w:t>None</w:t>
            </w:r>
          </w:p>
        </w:tc>
      </w:tr>
      <w:tr w:rsidR="00C952E8" w:rsidRPr="00790826" w14:paraId="587C8FD4" w14:textId="77777777" w:rsidTr="00A2713C">
        <w:tc>
          <w:tcPr>
            <w:tcW w:w="1325" w:type="pct"/>
            <w:tcBorders>
              <w:right w:val="nil"/>
            </w:tcBorders>
          </w:tcPr>
          <w:p w14:paraId="587C8FD2" w14:textId="77777777" w:rsidR="00C952E8" w:rsidRPr="005E0F01" w:rsidRDefault="00C952E8" w:rsidP="00A2713C">
            <w:pPr>
              <w:spacing w:before="120" w:after="120" w:line="276" w:lineRule="auto"/>
              <w:rPr>
                <w:rFonts w:ascii="Arial" w:hAnsi="Arial" w:cs="Arial"/>
                <w:b/>
              </w:rPr>
            </w:pPr>
            <w:r>
              <w:rPr>
                <w:rFonts w:ascii="Arial" w:hAnsi="Arial" w:cs="Arial"/>
                <w:b/>
              </w:rPr>
              <w:t>Reserved Business:</w:t>
            </w:r>
          </w:p>
        </w:tc>
        <w:tc>
          <w:tcPr>
            <w:tcW w:w="3675" w:type="pct"/>
            <w:tcBorders>
              <w:left w:val="nil"/>
            </w:tcBorders>
            <w:vAlign w:val="center"/>
          </w:tcPr>
          <w:p w14:paraId="587C8FD3" w14:textId="77777777" w:rsidR="00C952E8" w:rsidRDefault="00C952E8" w:rsidP="00A2713C">
            <w:pPr>
              <w:rPr>
                <w:rFonts w:ascii="Arial" w:hAnsi="Arial" w:cs="Arial"/>
              </w:rPr>
            </w:pPr>
            <w:r>
              <w:rPr>
                <w:rFonts w:ascii="Arial" w:hAnsi="Arial" w:cs="Arial"/>
              </w:rPr>
              <w:t xml:space="preserve">No </w:t>
            </w:r>
          </w:p>
        </w:tc>
      </w:tr>
      <w:tr w:rsidR="00C952E8" w:rsidRPr="00790826" w14:paraId="587C8FD7" w14:textId="77777777" w:rsidTr="00A2713C">
        <w:tc>
          <w:tcPr>
            <w:tcW w:w="1325" w:type="pct"/>
            <w:tcBorders>
              <w:right w:val="nil"/>
            </w:tcBorders>
          </w:tcPr>
          <w:p w14:paraId="587C8FD5" w14:textId="60865E68" w:rsidR="00C952E8" w:rsidRPr="005E0F01" w:rsidRDefault="00C952E8" w:rsidP="00A2713C">
            <w:pPr>
              <w:spacing w:before="120" w:after="120" w:line="276" w:lineRule="auto"/>
              <w:rPr>
                <w:rFonts w:ascii="Arial" w:hAnsi="Arial" w:cs="Arial"/>
                <w:b/>
              </w:rPr>
            </w:pPr>
            <w:r w:rsidRPr="005E0F01">
              <w:rPr>
                <w:rFonts w:ascii="Arial" w:hAnsi="Arial" w:cs="Arial"/>
                <w:b/>
              </w:rPr>
              <w:t xml:space="preserve">Key </w:t>
            </w:r>
            <w:r>
              <w:rPr>
                <w:rFonts w:ascii="Arial" w:hAnsi="Arial" w:cs="Arial"/>
                <w:b/>
              </w:rPr>
              <w:t>C</w:t>
            </w:r>
            <w:r w:rsidRPr="005E0F01">
              <w:rPr>
                <w:rFonts w:ascii="Arial" w:hAnsi="Arial" w:cs="Arial"/>
                <w:b/>
              </w:rPr>
              <w:t>ontact(s):</w:t>
            </w:r>
            <w:r w:rsidR="001B332B">
              <w:rPr>
                <w:rFonts w:ascii="Arial" w:hAnsi="Arial" w:cs="Arial"/>
                <w:b/>
              </w:rPr>
              <w:t xml:space="preserve"> </w:t>
            </w:r>
            <w:r w:rsidRPr="005E0F01">
              <w:rPr>
                <w:rFonts w:ascii="Arial" w:hAnsi="Arial" w:cs="Arial"/>
                <w:b/>
              </w:rPr>
              <w:t xml:space="preserve"> </w:t>
            </w:r>
          </w:p>
        </w:tc>
        <w:tc>
          <w:tcPr>
            <w:tcW w:w="3675" w:type="pct"/>
            <w:tcBorders>
              <w:left w:val="nil"/>
            </w:tcBorders>
            <w:vAlign w:val="center"/>
          </w:tcPr>
          <w:p w14:paraId="69BE5E8D" w14:textId="5FCC8084" w:rsidR="00C952E8" w:rsidRDefault="00976AFE" w:rsidP="00C537D8">
            <w:pPr>
              <w:rPr>
                <w:rFonts w:ascii="Arial" w:hAnsi="Arial" w:cs="Arial"/>
              </w:rPr>
            </w:pPr>
            <w:r>
              <w:rPr>
                <w:rFonts w:ascii="Arial" w:hAnsi="Arial" w:cs="Arial"/>
              </w:rPr>
              <w:t xml:space="preserve">Chris Mochan, Complaints </w:t>
            </w:r>
            <w:r w:rsidR="00F24BC7">
              <w:rPr>
                <w:rFonts w:ascii="Arial" w:hAnsi="Arial" w:cs="Arial"/>
              </w:rPr>
              <w:t>&amp;</w:t>
            </w:r>
            <w:r>
              <w:rPr>
                <w:rFonts w:ascii="Arial" w:hAnsi="Arial" w:cs="Arial"/>
              </w:rPr>
              <w:t xml:space="preserve"> Corporate Governance Officer</w:t>
            </w:r>
          </w:p>
          <w:p w14:paraId="587C8FD6" w14:textId="45358773" w:rsidR="00976AFE" w:rsidRPr="00315E46" w:rsidRDefault="00256107" w:rsidP="00C537D8">
            <w:pPr>
              <w:rPr>
                <w:rFonts w:ascii="Arial" w:hAnsi="Arial" w:cs="Arial"/>
              </w:rPr>
            </w:pPr>
            <w:hyperlink r:id="rId7" w:history="1">
              <w:r w:rsidR="00C2257C" w:rsidRPr="00130F79">
                <w:rPr>
                  <w:rStyle w:val="Hyperlink"/>
                  <w:rFonts w:ascii="Arial" w:hAnsi="Arial" w:cs="Arial"/>
                </w:rPr>
                <w:t>Chris.Mochan@strath.ac.uk</w:t>
              </w:r>
            </w:hyperlink>
            <w:r w:rsidR="00C2257C">
              <w:rPr>
                <w:rFonts w:ascii="Arial" w:hAnsi="Arial" w:cs="Arial"/>
              </w:rPr>
              <w:t xml:space="preserve"> </w:t>
            </w:r>
          </w:p>
        </w:tc>
      </w:tr>
      <w:tr w:rsidR="00C952E8" w:rsidRPr="00790826" w14:paraId="587C8FDA" w14:textId="77777777" w:rsidTr="00A2713C">
        <w:tc>
          <w:tcPr>
            <w:tcW w:w="1325" w:type="pct"/>
            <w:tcBorders>
              <w:right w:val="nil"/>
            </w:tcBorders>
          </w:tcPr>
          <w:p w14:paraId="587C8FD8" w14:textId="69699064" w:rsidR="00C952E8" w:rsidRPr="005E0F01" w:rsidRDefault="00C952E8" w:rsidP="00A2713C">
            <w:pPr>
              <w:spacing w:before="120" w:after="120" w:line="276" w:lineRule="auto"/>
              <w:rPr>
                <w:rFonts w:ascii="Arial" w:hAnsi="Arial" w:cs="Arial"/>
              </w:rPr>
            </w:pPr>
            <w:r w:rsidRPr="005E0F01">
              <w:rPr>
                <w:rFonts w:ascii="Arial" w:hAnsi="Arial" w:cs="Arial"/>
                <w:b/>
              </w:rPr>
              <w:t>Date of Production</w:t>
            </w:r>
            <w:r w:rsidRPr="005E0F01">
              <w:rPr>
                <w:rFonts w:ascii="Arial" w:hAnsi="Arial" w:cs="Arial"/>
              </w:rPr>
              <w:t>:</w:t>
            </w:r>
            <w:r w:rsidR="001B332B">
              <w:rPr>
                <w:rFonts w:ascii="Arial" w:hAnsi="Arial" w:cs="Arial"/>
              </w:rPr>
              <w:t xml:space="preserve">  </w:t>
            </w:r>
            <w:r w:rsidRPr="005E0F01">
              <w:rPr>
                <w:rFonts w:ascii="Arial" w:hAnsi="Arial" w:cs="Arial"/>
              </w:rPr>
              <w:t xml:space="preserve"> </w:t>
            </w:r>
          </w:p>
        </w:tc>
        <w:tc>
          <w:tcPr>
            <w:tcW w:w="3675" w:type="pct"/>
            <w:tcBorders>
              <w:left w:val="nil"/>
            </w:tcBorders>
          </w:tcPr>
          <w:p w14:paraId="587C8FD9" w14:textId="3D130DBB" w:rsidR="00C952E8" w:rsidRPr="005E0F01" w:rsidRDefault="00256107" w:rsidP="00B96037">
            <w:pPr>
              <w:spacing w:before="120" w:after="120"/>
              <w:rPr>
                <w:rFonts w:ascii="Arial" w:hAnsi="Arial" w:cs="Arial"/>
              </w:rPr>
            </w:pPr>
            <w:r>
              <w:rPr>
                <w:rFonts w:ascii="Arial" w:hAnsi="Arial" w:cs="Arial"/>
                <w:noProof/>
              </w:rPr>
              <w:t>8</w:t>
            </w:r>
            <w:r w:rsidR="00C44001">
              <w:rPr>
                <w:rFonts w:ascii="Arial" w:hAnsi="Arial" w:cs="Arial"/>
                <w:noProof/>
              </w:rPr>
              <w:t xml:space="preserve"> </w:t>
            </w:r>
            <w:r w:rsidR="00856B59">
              <w:rPr>
                <w:rFonts w:ascii="Arial" w:hAnsi="Arial" w:cs="Arial"/>
                <w:noProof/>
              </w:rPr>
              <w:t>December</w:t>
            </w:r>
            <w:r w:rsidR="00C44001">
              <w:rPr>
                <w:rFonts w:ascii="Arial" w:hAnsi="Arial" w:cs="Arial"/>
                <w:noProof/>
              </w:rPr>
              <w:t xml:space="preserve"> </w:t>
            </w:r>
            <w:r w:rsidR="0063020B">
              <w:rPr>
                <w:rFonts w:ascii="Arial" w:hAnsi="Arial" w:cs="Arial"/>
                <w:noProof/>
              </w:rPr>
              <w:t>2023</w:t>
            </w:r>
          </w:p>
        </w:tc>
      </w:tr>
    </w:tbl>
    <w:p w14:paraId="587C8FDB" w14:textId="77777777" w:rsidR="00C952E8" w:rsidRDefault="00C952E8" w:rsidP="00C952E8">
      <w:pPr>
        <w:jc w:val="right"/>
        <w:rPr>
          <w:rFonts w:ascii="Arial" w:hAnsi="Arial" w:cs="Arial"/>
          <w:sz w:val="18"/>
          <w:szCs w:val="18"/>
        </w:rPr>
      </w:pPr>
    </w:p>
    <w:p w14:paraId="587C8FDC" w14:textId="77777777" w:rsidR="00C952E8" w:rsidRPr="008C7B2D" w:rsidRDefault="00C952E8" w:rsidP="00C952E8">
      <w:pPr>
        <w:rPr>
          <w:rFonts w:ascii="Arial" w:hAnsi="Arial" w:cs="Arial"/>
          <w:sz w:val="18"/>
          <w:szCs w:val="18"/>
        </w:rPr>
      </w:pPr>
    </w:p>
    <w:p w14:paraId="587C8FDD" w14:textId="77777777" w:rsidR="00C952E8" w:rsidRPr="008C7B2D" w:rsidRDefault="00C952E8" w:rsidP="00C952E8">
      <w:pPr>
        <w:rPr>
          <w:rFonts w:ascii="Arial" w:hAnsi="Arial" w:cs="Arial"/>
          <w:sz w:val="18"/>
          <w:szCs w:val="18"/>
        </w:rPr>
      </w:pPr>
    </w:p>
    <w:p w14:paraId="0F2AB7B3" w14:textId="77777777" w:rsidR="007C04A9" w:rsidRDefault="007C04A9" w:rsidP="008F2344">
      <w:pPr>
        <w:rPr>
          <w:rFonts w:ascii="Arial" w:hAnsi="Arial" w:cs="Arial"/>
          <w:b/>
        </w:rPr>
        <w:sectPr w:rsidR="007C04A9" w:rsidSect="007C04A9">
          <w:headerReference w:type="first" r:id="rId8"/>
          <w:footerReference w:type="first" r:id="rId9"/>
          <w:pgSz w:w="11906" w:h="16838"/>
          <w:pgMar w:top="1440" w:right="1134" w:bottom="1440" w:left="1134" w:header="709" w:footer="709" w:gutter="0"/>
          <w:cols w:space="708"/>
          <w:titlePg/>
          <w:docGrid w:linePitch="360"/>
        </w:sectPr>
      </w:pPr>
    </w:p>
    <w:p w14:paraId="587C8FDE" w14:textId="636E07B6" w:rsidR="00C952E8" w:rsidRDefault="00C952E8" w:rsidP="008F2344">
      <w:pPr>
        <w:rPr>
          <w:rFonts w:ascii="Arial" w:hAnsi="Arial" w:cs="Arial"/>
          <w:b/>
        </w:rPr>
      </w:pPr>
    </w:p>
    <w:p w14:paraId="587C8FE1" w14:textId="00156657" w:rsidR="00DF3525" w:rsidRDefault="00CF526F" w:rsidP="00DF3525">
      <w:pPr>
        <w:rPr>
          <w:rFonts w:ascii="Arial" w:hAnsi="Arial" w:cs="Arial"/>
          <w:b/>
        </w:rPr>
      </w:pPr>
      <w:r>
        <w:rPr>
          <w:rFonts w:ascii="Arial" w:hAnsi="Arial" w:cs="Arial"/>
          <w:b/>
        </w:rPr>
        <w:t>Complaints Handling: 20</w:t>
      </w:r>
      <w:r w:rsidR="00233DBB">
        <w:rPr>
          <w:rFonts w:ascii="Arial" w:hAnsi="Arial" w:cs="Arial"/>
          <w:b/>
        </w:rPr>
        <w:t>2</w:t>
      </w:r>
      <w:r w:rsidR="00256107">
        <w:rPr>
          <w:rFonts w:ascii="Arial" w:hAnsi="Arial" w:cs="Arial"/>
          <w:b/>
        </w:rPr>
        <w:t>3/24</w:t>
      </w:r>
      <w:r w:rsidR="00C71194">
        <w:rPr>
          <w:rFonts w:ascii="Arial" w:hAnsi="Arial" w:cs="Arial"/>
          <w:b/>
        </w:rPr>
        <w:t xml:space="preserve"> Quarter </w:t>
      </w:r>
      <w:r w:rsidR="00256107">
        <w:rPr>
          <w:rFonts w:ascii="Arial" w:hAnsi="Arial" w:cs="Arial"/>
          <w:b/>
        </w:rPr>
        <w:t>1</w:t>
      </w:r>
      <w:r w:rsidR="00DF3525">
        <w:rPr>
          <w:rFonts w:ascii="Arial" w:hAnsi="Arial" w:cs="Arial"/>
          <w:b/>
        </w:rPr>
        <w:t xml:space="preserve"> Repor</w:t>
      </w:r>
      <w:r w:rsidR="00256107">
        <w:rPr>
          <w:rFonts w:ascii="Arial" w:hAnsi="Arial" w:cs="Arial"/>
          <w:b/>
        </w:rPr>
        <w:t>t</w:t>
      </w:r>
    </w:p>
    <w:p w14:paraId="587C8FE2" w14:textId="77777777" w:rsidR="00DF3525" w:rsidRPr="000904E2" w:rsidRDefault="00DF3525" w:rsidP="00DF3525">
      <w:pPr>
        <w:rPr>
          <w:rFonts w:ascii="Arial" w:hAnsi="Arial" w:cs="Arial"/>
        </w:rPr>
      </w:pPr>
    </w:p>
    <w:p w14:paraId="587C8FE3" w14:textId="77777777" w:rsidR="00DF3525" w:rsidRDefault="00DF3525" w:rsidP="00DF3525">
      <w:pPr>
        <w:pStyle w:val="PlainText"/>
        <w:contextualSpacing/>
        <w:jc w:val="both"/>
        <w:rPr>
          <w:rFonts w:ascii="Arial" w:hAnsi="Arial" w:cs="Arial"/>
          <w:szCs w:val="22"/>
        </w:rPr>
      </w:pPr>
      <w:r w:rsidRPr="0094216D">
        <w:rPr>
          <w:rFonts w:ascii="Arial" w:hAnsi="Arial" w:cs="Arial"/>
          <w:b/>
          <w:i/>
          <w:szCs w:val="22"/>
        </w:rPr>
        <w:t xml:space="preserve">It is a </w:t>
      </w:r>
      <w:r>
        <w:rPr>
          <w:rFonts w:ascii="Arial" w:hAnsi="Arial" w:cs="Arial"/>
          <w:b/>
          <w:i/>
          <w:szCs w:val="22"/>
        </w:rPr>
        <w:t xml:space="preserve">regulatory </w:t>
      </w:r>
      <w:r w:rsidRPr="0094216D">
        <w:rPr>
          <w:rFonts w:ascii="Arial" w:hAnsi="Arial" w:cs="Arial"/>
          <w:b/>
          <w:i/>
          <w:szCs w:val="22"/>
        </w:rPr>
        <w:t xml:space="preserve">requirement that the University reports key performance information </w:t>
      </w:r>
      <w:r>
        <w:rPr>
          <w:rFonts w:ascii="Arial" w:hAnsi="Arial" w:cs="Arial"/>
          <w:b/>
          <w:i/>
          <w:szCs w:val="22"/>
        </w:rPr>
        <w:t xml:space="preserve">on complaints </w:t>
      </w:r>
      <w:r w:rsidRPr="0094216D">
        <w:rPr>
          <w:rFonts w:ascii="Arial" w:hAnsi="Arial" w:cs="Arial"/>
          <w:b/>
          <w:i/>
          <w:szCs w:val="22"/>
        </w:rPr>
        <w:t>quarterly to senior officers (Executive Team) and annually to Court</w:t>
      </w:r>
      <w:r>
        <w:rPr>
          <w:rFonts w:ascii="Arial" w:hAnsi="Arial" w:cs="Arial"/>
          <w:szCs w:val="22"/>
        </w:rPr>
        <w:t xml:space="preserve">. </w:t>
      </w:r>
    </w:p>
    <w:p w14:paraId="587C8FE4" w14:textId="77777777" w:rsidR="00DF3525" w:rsidRDefault="00DF3525" w:rsidP="00DF3525">
      <w:pPr>
        <w:pStyle w:val="PlainText"/>
        <w:contextualSpacing/>
        <w:jc w:val="both"/>
        <w:rPr>
          <w:rFonts w:ascii="Arial" w:hAnsi="Arial" w:cs="Arial"/>
          <w:szCs w:val="22"/>
        </w:rPr>
      </w:pPr>
    </w:p>
    <w:p w14:paraId="307D1B09" w14:textId="05ECDFD4" w:rsidR="001F609A" w:rsidRPr="009F018A" w:rsidRDefault="001F609A" w:rsidP="005D522B">
      <w:pPr>
        <w:pStyle w:val="PlainText"/>
        <w:numPr>
          <w:ilvl w:val="0"/>
          <w:numId w:val="33"/>
        </w:numPr>
        <w:contextualSpacing/>
        <w:jc w:val="both"/>
        <w:rPr>
          <w:rFonts w:ascii="Arial" w:hAnsi="Arial" w:cs="Arial"/>
          <w:szCs w:val="22"/>
        </w:rPr>
      </w:pPr>
      <w:r w:rsidRPr="009F018A">
        <w:rPr>
          <w:rFonts w:ascii="Arial" w:hAnsi="Arial" w:cs="Arial"/>
          <w:szCs w:val="22"/>
        </w:rPr>
        <w:t xml:space="preserve">The SPSO published a revised Complaints Handling Procedure (CHP) in 2020 which </w:t>
      </w:r>
      <w:r w:rsidR="00FD7AFE" w:rsidRPr="009F018A">
        <w:rPr>
          <w:rFonts w:ascii="Arial" w:hAnsi="Arial" w:cs="Arial"/>
          <w:szCs w:val="22"/>
        </w:rPr>
        <w:t xml:space="preserve">the University </w:t>
      </w:r>
      <w:r w:rsidRPr="009F018A">
        <w:rPr>
          <w:rFonts w:ascii="Arial" w:hAnsi="Arial" w:cs="Arial"/>
          <w:szCs w:val="22"/>
        </w:rPr>
        <w:t>formally implemented on 1 April</w:t>
      </w:r>
      <w:r w:rsidR="00233DBB" w:rsidRPr="009F018A">
        <w:rPr>
          <w:rFonts w:ascii="Arial" w:hAnsi="Arial" w:cs="Arial"/>
          <w:szCs w:val="22"/>
        </w:rPr>
        <w:t xml:space="preserve"> 2021</w:t>
      </w:r>
      <w:r w:rsidRPr="009F018A">
        <w:rPr>
          <w:rFonts w:ascii="Arial" w:hAnsi="Arial" w:cs="Arial"/>
          <w:szCs w:val="22"/>
        </w:rPr>
        <w:t>.</w:t>
      </w:r>
      <w:r w:rsidR="001B332B">
        <w:rPr>
          <w:rFonts w:ascii="Arial" w:hAnsi="Arial" w:cs="Arial"/>
          <w:szCs w:val="22"/>
        </w:rPr>
        <w:t xml:space="preserve"> </w:t>
      </w:r>
      <w:r w:rsidRPr="009F018A">
        <w:rPr>
          <w:rFonts w:ascii="Arial" w:hAnsi="Arial" w:cs="Arial"/>
          <w:szCs w:val="22"/>
        </w:rPr>
        <w:t xml:space="preserve">A MyPlace site </w:t>
      </w:r>
      <w:r w:rsidR="00233DBB" w:rsidRPr="009F018A">
        <w:rPr>
          <w:rFonts w:ascii="Arial" w:hAnsi="Arial" w:cs="Arial"/>
          <w:szCs w:val="22"/>
        </w:rPr>
        <w:t xml:space="preserve">is available </w:t>
      </w:r>
      <w:r w:rsidRPr="009F018A">
        <w:rPr>
          <w:rFonts w:ascii="Arial" w:hAnsi="Arial" w:cs="Arial"/>
          <w:szCs w:val="22"/>
        </w:rPr>
        <w:t>contain</w:t>
      </w:r>
      <w:r w:rsidR="00233DBB" w:rsidRPr="009F018A">
        <w:rPr>
          <w:rFonts w:ascii="Arial" w:hAnsi="Arial" w:cs="Arial"/>
          <w:szCs w:val="22"/>
        </w:rPr>
        <w:t>ing</w:t>
      </w:r>
      <w:r w:rsidRPr="009F018A">
        <w:rPr>
          <w:rFonts w:ascii="Arial" w:hAnsi="Arial" w:cs="Arial"/>
          <w:szCs w:val="22"/>
        </w:rPr>
        <w:t xml:space="preserve"> the training materials for the compulsory frontline training required, under the CHP, for all staff at induction.</w:t>
      </w:r>
      <w:r w:rsidR="001B332B">
        <w:rPr>
          <w:rFonts w:ascii="Arial" w:hAnsi="Arial" w:cs="Arial"/>
          <w:szCs w:val="22"/>
        </w:rPr>
        <w:t xml:space="preserve"> </w:t>
      </w:r>
      <w:r w:rsidRPr="009F018A">
        <w:rPr>
          <w:rFonts w:ascii="Arial" w:hAnsi="Arial" w:cs="Arial"/>
          <w:szCs w:val="22"/>
        </w:rPr>
        <w:t>These materials, along with additional guidance and templates, are also available to all staff on MyPlace for refresher training and ongoing reference.</w:t>
      </w:r>
      <w:r w:rsidR="001B332B">
        <w:rPr>
          <w:rFonts w:ascii="Arial" w:hAnsi="Arial" w:cs="Arial"/>
          <w:szCs w:val="22"/>
        </w:rPr>
        <w:t xml:space="preserve"> </w:t>
      </w:r>
      <w:r w:rsidR="009F018A" w:rsidRPr="009F018A">
        <w:rPr>
          <w:rFonts w:ascii="Arial" w:hAnsi="Arial" w:cs="Arial"/>
          <w:szCs w:val="22"/>
        </w:rPr>
        <w:t>(</w:t>
      </w:r>
      <w:hyperlink r:id="rId10" w:history="1">
        <w:r w:rsidR="009F018A" w:rsidRPr="009F018A">
          <w:rPr>
            <w:rStyle w:val="Hyperlink"/>
            <w:rFonts w:ascii="Arial" w:hAnsi="Arial" w:cs="Arial"/>
            <w:szCs w:val="22"/>
          </w:rPr>
          <w:t>https://classes.myplace.strath.ac.uk/course/view.php?id=26168</w:t>
        </w:r>
      </w:hyperlink>
      <w:r w:rsidR="009F018A" w:rsidRPr="009F018A">
        <w:rPr>
          <w:rFonts w:ascii="Arial" w:hAnsi="Arial" w:cs="Arial"/>
          <w:szCs w:val="22"/>
        </w:rPr>
        <w:t>)</w:t>
      </w:r>
    </w:p>
    <w:p w14:paraId="6F7E4A60" w14:textId="77777777" w:rsidR="000F24E0" w:rsidRDefault="000F24E0" w:rsidP="000F24E0">
      <w:pPr>
        <w:pStyle w:val="ListParagraph"/>
        <w:rPr>
          <w:rFonts w:ascii="Arial" w:hAnsi="Arial" w:cs="Arial"/>
        </w:rPr>
      </w:pPr>
    </w:p>
    <w:p w14:paraId="587C8FE6" w14:textId="0170878E" w:rsidR="00DF3525" w:rsidRDefault="00DF3525" w:rsidP="005D522B">
      <w:pPr>
        <w:pStyle w:val="PlainText"/>
        <w:numPr>
          <w:ilvl w:val="0"/>
          <w:numId w:val="33"/>
        </w:numPr>
        <w:contextualSpacing/>
        <w:jc w:val="both"/>
        <w:rPr>
          <w:rFonts w:ascii="Arial" w:hAnsi="Arial" w:cs="Arial"/>
          <w:szCs w:val="22"/>
        </w:rPr>
      </w:pPr>
      <w:r w:rsidRPr="009B6A7E">
        <w:rPr>
          <w:rFonts w:ascii="Arial" w:hAnsi="Arial" w:cs="Arial"/>
          <w:szCs w:val="22"/>
        </w:rPr>
        <w:t xml:space="preserve">Annex A provides key performance information on the volume and types of complaints received during the </w:t>
      </w:r>
      <w:r w:rsidR="00561938">
        <w:rPr>
          <w:rFonts w:ascii="Arial" w:hAnsi="Arial" w:cs="Arial"/>
          <w:szCs w:val="22"/>
        </w:rPr>
        <w:t>f</w:t>
      </w:r>
      <w:r w:rsidR="002C79F0">
        <w:rPr>
          <w:rFonts w:ascii="Arial" w:hAnsi="Arial" w:cs="Arial"/>
          <w:szCs w:val="22"/>
        </w:rPr>
        <w:t>irst</w:t>
      </w:r>
      <w:r w:rsidR="00F95591">
        <w:rPr>
          <w:rFonts w:ascii="Arial" w:hAnsi="Arial" w:cs="Arial"/>
          <w:szCs w:val="22"/>
        </w:rPr>
        <w:t xml:space="preserve"> quarter</w:t>
      </w:r>
      <w:r w:rsidRPr="009B6A7E">
        <w:rPr>
          <w:rFonts w:ascii="Arial" w:hAnsi="Arial" w:cs="Arial"/>
          <w:szCs w:val="22"/>
        </w:rPr>
        <w:t xml:space="preserve"> of </w:t>
      </w:r>
      <w:r w:rsidR="00CF526F" w:rsidRPr="009B6A7E">
        <w:rPr>
          <w:rFonts w:ascii="Arial" w:hAnsi="Arial" w:cs="Arial"/>
          <w:szCs w:val="22"/>
        </w:rPr>
        <w:t>20</w:t>
      </w:r>
      <w:r w:rsidR="006423E8" w:rsidRPr="009B6A7E">
        <w:rPr>
          <w:rFonts w:ascii="Arial" w:hAnsi="Arial" w:cs="Arial"/>
          <w:szCs w:val="22"/>
        </w:rPr>
        <w:t>2</w:t>
      </w:r>
      <w:r w:rsidR="002C79F0">
        <w:rPr>
          <w:rFonts w:ascii="Arial" w:hAnsi="Arial" w:cs="Arial"/>
          <w:szCs w:val="22"/>
        </w:rPr>
        <w:t xml:space="preserve">3/24 </w:t>
      </w:r>
      <w:r w:rsidRPr="009B6A7E">
        <w:rPr>
          <w:rFonts w:ascii="Arial" w:hAnsi="Arial" w:cs="Arial"/>
          <w:szCs w:val="22"/>
        </w:rPr>
        <w:t>and on the resolution times achieved.</w:t>
      </w:r>
      <w:r w:rsidR="001B332B">
        <w:rPr>
          <w:rFonts w:ascii="Arial" w:hAnsi="Arial" w:cs="Arial"/>
          <w:szCs w:val="22"/>
        </w:rPr>
        <w:t xml:space="preserve"> </w:t>
      </w:r>
      <w:r w:rsidRPr="009B6A7E">
        <w:rPr>
          <w:rFonts w:ascii="Arial" w:hAnsi="Arial" w:cs="Arial"/>
          <w:szCs w:val="22"/>
        </w:rPr>
        <w:t xml:space="preserve">Annex </w:t>
      </w:r>
      <w:r w:rsidR="00D257B6" w:rsidRPr="009B6A7E">
        <w:rPr>
          <w:rFonts w:ascii="Arial" w:hAnsi="Arial" w:cs="Arial"/>
          <w:szCs w:val="22"/>
        </w:rPr>
        <w:t xml:space="preserve">B </w:t>
      </w:r>
      <w:r w:rsidR="00F95591">
        <w:rPr>
          <w:rFonts w:ascii="Arial" w:hAnsi="Arial" w:cs="Arial"/>
          <w:szCs w:val="22"/>
        </w:rPr>
        <w:t xml:space="preserve">looks at comparable data from the </w:t>
      </w:r>
      <w:r w:rsidR="00561938">
        <w:rPr>
          <w:rFonts w:ascii="Arial" w:hAnsi="Arial" w:cs="Arial"/>
          <w:szCs w:val="22"/>
        </w:rPr>
        <w:t>fourth</w:t>
      </w:r>
      <w:r w:rsidR="00F95591">
        <w:rPr>
          <w:rFonts w:ascii="Arial" w:hAnsi="Arial" w:cs="Arial"/>
          <w:szCs w:val="22"/>
        </w:rPr>
        <w:t xml:space="preserve"> quarter</w:t>
      </w:r>
      <w:r w:rsidR="00010AEE">
        <w:rPr>
          <w:rFonts w:ascii="Arial" w:hAnsi="Arial" w:cs="Arial"/>
          <w:szCs w:val="22"/>
        </w:rPr>
        <w:t xml:space="preserve"> dating back to 20</w:t>
      </w:r>
      <w:r w:rsidR="002C79F0">
        <w:rPr>
          <w:rFonts w:ascii="Arial" w:hAnsi="Arial" w:cs="Arial"/>
          <w:szCs w:val="22"/>
        </w:rPr>
        <w:t>20/21</w:t>
      </w:r>
      <w:r w:rsidRPr="009B6A7E">
        <w:rPr>
          <w:rFonts w:ascii="Arial" w:hAnsi="Arial" w:cs="Arial"/>
          <w:szCs w:val="22"/>
        </w:rPr>
        <w:t>.</w:t>
      </w:r>
      <w:r w:rsidR="001B332B">
        <w:rPr>
          <w:rFonts w:ascii="Arial" w:hAnsi="Arial" w:cs="Arial"/>
          <w:szCs w:val="22"/>
        </w:rPr>
        <w:t xml:space="preserve"> </w:t>
      </w:r>
      <w:r w:rsidR="00F95591">
        <w:rPr>
          <w:rFonts w:ascii="Arial" w:hAnsi="Arial" w:cs="Arial"/>
          <w:szCs w:val="22"/>
        </w:rPr>
        <w:t xml:space="preserve">Annex C </w:t>
      </w:r>
      <w:r w:rsidR="00F95591" w:rsidRPr="009B6A7E">
        <w:rPr>
          <w:rFonts w:ascii="Arial" w:hAnsi="Arial" w:cs="Arial"/>
          <w:szCs w:val="22"/>
        </w:rPr>
        <w:t xml:space="preserve">provides qualitative information on some of the actions taken </w:t>
      </w:r>
      <w:r w:rsidR="002C79F0">
        <w:rPr>
          <w:rFonts w:ascii="Arial" w:hAnsi="Arial" w:cs="Arial"/>
          <w:szCs w:val="22"/>
        </w:rPr>
        <w:t>and/</w:t>
      </w:r>
      <w:r w:rsidR="00F95591" w:rsidRPr="009B6A7E">
        <w:rPr>
          <w:rFonts w:ascii="Arial" w:hAnsi="Arial" w:cs="Arial"/>
          <w:szCs w:val="22"/>
        </w:rPr>
        <w:t xml:space="preserve">or recommendations made to deliver service improvement in response to complaints received by the University during the </w:t>
      </w:r>
      <w:r w:rsidR="00935942" w:rsidRPr="009B6A7E">
        <w:rPr>
          <w:rFonts w:ascii="Arial" w:hAnsi="Arial" w:cs="Arial"/>
          <w:szCs w:val="22"/>
        </w:rPr>
        <w:t>quarter.</w:t>
      </w:r>
    </w:p>
    <w:p w14:paraId="08F190BE" w14:textId="77777777" w:rsidR="00C32AE3" w:rsidRDefault="00C32AE3" w:rsidP="00C32AE3">
      <w:pPr>
        <w:pStyle w:val="ListParagraph"/>
        <w:rPr>
          <w:rFonts w:ascii="Arial" w:hAnsi="Arial" w:cs="Arial"/>
        </w:rPr>
      </w:pPr>
    </w:p>
    <w:p w14:paraId="658829C9" w14:textId="4799E546" w:rsidR="00D67E51" w:rsidRDefault="00C32AE3" w:rsidP="005D522B">
      <w:pPr>
        <w:pStyle w:val="PlainText"/>
        <w:numPr>
          <w:ilvl w:val="0"/>
          <w:numId w:val="33"/>
        </w:numPr>
        <w:contextualSpacing/>
        <w:jc w:val="both"/>
        <w:rPr>
          <w:rFonts w:ascii="Arial" w:hAnsi="Arial" w:cs="Arial"/>
          <w:szCs w:val="22"/>
        </w:rPr>
      </w:pPr>
      <w:r>
        <w:rPr>
          <w:rFonts w:ascii="Arial" w:hAnsi="Arial" w:cs="Arial"/>
          <w:szCs w:val="22"/>
        </w:rPr>
        <w:t xml:space="preserve">In March 2022, SPSO published a set of Key Performance </w:t>
      </w:r>
      <w:r w:rsidRPr="00C32AE3">
        <w:rPr>
          <w:rFonts w:ascii="Arial" w:hAnsi="Arial" w:cs="Arial"/>
          <w:szCs w:val="22"/>
        </w:rPr>
        <w:t>Indicators</w:t>
      </w:r>
      <w:r>
        <w:rPr>
          <w:rFonts w:ascii="Arial" w:hAnsi="Arial" w:cs="Arial"/>
          <w:szCs w:val="22"/>
        </w:rPr>
        <w:t xml:space="preserve"> (KPIs) which institutions will be required to report on from 2022/23.</w:t>
      </w:r>
      <w:r w:rsidR="001B332B">
        <w:rPr>
          <w:rFonts w:ascii="Arial" w:hAnsi="Arial" w:cs="Arial"/>
          <w:szCs w:val="22"/>
        </w:rPr>
        <w:t xml:space="preserve"> </w:t>
      </w:r>
      <w:r w:rsidRPr="00C32AE3">
        <w:rPr>
          <w:rFonts w:ascii="Arial" w:hAnsi="Arial" w:cs="Arial"/>
          <w:szCs w:val="22"/>
        </w:rPr>
        <w:t>For Further Education and Higher Education, the KPIs are applicable for data collected from 1 September 2022</w:t>
      </w:r>
      <w:r w:rsidR="006369AE">
        <w:rPr>
          <w:rFonts w:ascii="Arial" w:hAnsi="Arial" w:cs="Arial"/>
          <w:szCs w:val="22"/>
        </w:rPr>
        <w:t xml:space="preserve"> and t</w:t>
      </w:r>
      <w:r w:rsidR="00DB0BD2">
        <w:rPr>
          <w:rFonts w:ascii="Arial" w:hAnsi="Arial" w:cs="Arial"/>
          <w:szCs w:val="22"/>
        </w:rPr>
        <w:t xml:space="preserve">his report </w:t>
      </w:r>
      <w:r w:rsidR="002C79F0">
        <w:rPr>
          <w:rFonts w:ascii="Arial" w:hAnsi="Arial" w:cs="Arial"/>
          <w:szCs w:val="22"/>
        </w:rPr>
        <w:t>reflects those amendments</w:t>
      </w:r>
      <w:r w:rsidR="006369AE">
        <w:rPr>
          <w:rFonts w:ascii="Arial" w:hAnsi="Arial" w:cs="Arial"/>
          <w:szCs w:val="22"/>
        </w:rPr>
        <w:t>.</w:t>
      </w:r>
    </w:p>
    <w:p w14:paraId="33B7FE74" w14:textId="77777777" w:rsidR="00D67E51" w:rsidRDefault="00D67E51" w:rsidP="00D67E51">
      <w:pPr>
        <w:pStyle w:val="ListParagraph"/>
        <w:rPr>
          <w:rFonts w:ascii="Arial" w:hAnsi="Arial" w:cs="Arial"/>
        </w:rPr>
      </w:pPr>
    </w:p>
    <w:p w14:paraId="3D85FFEA" w14:textId="18971A99" w:rsidR="00C32AE3" w:rsidRPr="00C32AE3" w:rsidRDefault="00C32AE3" w:rsidP="005D522B">
      <w:pPr>
        <w:pStyle w:val="PlainText"/>
        <w:numPr>
          <w:ilvl w:val="0"/>
          <w:numId w:val="33"/>
        </w:numPr>
        <w:contextualSpacing/>
        <w:jc w:val="both"/>
        <w:rPr>
          <w:rFonts w:ascii="Arial" w:hAnsi="Arial" w:cs="Arial"/>
          <w:szCs w:val="22"/>
        </w:rPr>
      </w:pPr>
      <w:r>
        <w:rPr>
          <w:rFonts w:ascii="Arial" w:hAnsi="Arial" w:cs="Arial"/>
          <w:szCs w:val="22"/>
        </w:rPr>
        <w:t xml:space="preserve">The quarterly reporting at Strathclyde </w:t>
      </w:r>
      <w:r w:rsidR="00D67E51">
        <w:rPr>
          <w:rFonts w:ascii="Arial" w:hAnsi="Arial" w:cs="Arial"/>
          <w:szCs w:val="22"/>
        </w:rPr>
        <w:t xml:space="preserve">already </w:t>
      </w:r>
      <w:r>
        <w:rPr>
          <w:rFonts w:ascii="Arial" w:hAnsi="Arial" w:cs="Arial"/>
          <w:szCs w:val="22"/>
        </w:rPr>
        <w:t>met most of the requirements except for the need to specify when a complaint was handled directly at investigation (stage 2) and when it was moved to investigation due to the complainant’s dissatisfaction with the frontline response.</w:t>
      </w:r>
      <w:r w:rsidR="001B332B">
        <w:rPr>
          <w:rFonts w:ascii="Arial" w:hAnsi="Arial" w:cs="Arial"/>
          <w:szCs w:val="22"/>
        </w:rPr>
        <w:t xml:space="preserve"> </w:t>
      </w:r>
      <w:r>
        <w:rPr>
          <w:rFonts w:ascii="Arial" w:hAnsi="Arial" w:cs="Arial"/>
          <w:szCs w:val="22"/>
        </w:rPr>
        <w:t>Further development work is due to begin shortly on the SharePoint recording site</w:t>
      </w:r>
      <w:r w:rsidR="00D67E51">
        <w:rPr>
          <w:rFonts w:ascii="Arial" w:hAnsi="Arial" w:cs="Arial"/>
          <w:szCs w:val="22"/>
        </w:rPr>
        <w:t>,</w:t>
      </w:r>
      <w:r>
        <w:rPr>
          <w:rFonts w:ascii="Arial" w:hAnsi="Arial" w:cs="Arial"/>
          <w:szCs w:val="22"/>
        </w:rPr>
        <w:t xml:space="preserve"> </w:t>
      </w:r>
      <w:r w:rsidR="001650D0">
        <w:rPr>
          <w:rFonts w:ascii="Arial" w:hAnsi="Arial" w:cs="Arial"/>
          <w:szCs w:val="22"/>
        </w:rPr>
        <w:t>which</w:t>
      </w:r>
      <w:r>
        <w:rPr>
          <w:rFonts w:ascii="Arial" w:hAnsi="Arial" w:cs="Arial"/>
          <w:szCs w:val="22"/>
        </w:rPr>
        <w:t xml:space="preserve"> is used to generate the required data for these reports</w:t>
      </w:r>
      <w:r w:rsidR="00D67E51">
        <w:rPr>
          <w:rFonts w:ascii="Arial" w:hAnsi="Arial" w:cs="Arial"/>
          <w:szCs w:val="22"/>
        </w:rPr>
        <w:t>,</w:t>
      </w:r>
      <w:r>
        <w:rPr>
          <w:rFonts w:ascii="Arial" w:hAnsi="Arial" w:cs="Arial"/>
          <w:szCs w:val="22"/>
        </w:rPr>
        <w:t xml:space="preserve"> to better support future reporting.</w:t>
      </w:r>
      <w:r w:rsidR="001B332B">
        <w:rPr>
          <w:rFonts w:ascii="Arial" w:hAnsi="Arial" w:cs="Arial"/>
          <w:szCs w:val="22"/>
        </w:rPr>
        <w:t xml:space="preserve"> </w:t>
      </w:r>
      <w:r>
        <w:rPr>
          <w:rFonts w:ascii="Arial" w:hAnsi="Arial" w:cs="Arial"/>
          <w:szCs w:val="22"/>
        </w:rPr>
        <w:t xml:space="preserve">For the present, complaints recorded as having been moved to stage 2 by the </w:t>
      </w:r>
      <w:r w:rsidR="00D67E51">
        <w:rPr>
          <w:rFonts w:ascii="Arial" w:hAnsi="Arial" w:cs="Arial"/>
          <w:szCs w:val="22"/>
        </w:rPr>
        <w:t>University</w:t>
      </w:r>
      <w:r>
        <w:rPr>
          <w:rFonts w:ascii="Arial" w:hAnsi="Arial" w:cs="Arial"/>
          <w:szCs w:val="22"/>
        </w:rPr>
        <w:t xml:space="preserve"> are considered as handled directly at stage 2 and those moved at the request of the complainant to have been moved following an attempt at </w:t>
      </w:r>
      <w:r w:rsidR="00D67E51">
        <w:rPr>
          <w:rFonts w:ascii="Arial" w:hAnsi="Arial" w:cs="Arial"/>
          <w:szCs w:val="22"/>
        </w:rPr>
        <w:t>closing the complaint at frontline</w:t>
      </w:r>
      <w:r>
        <w:rPr>
          <w:rFonts w:ascii="Arial" w:hAnsi="Arial" w:cs="Arial"/>
          <w:szCs w:val="22"/>
        </w:rPr>
        <w:t>.</w:t>
      </w:r>
    </w:p>
    <w:p w14:paraId="15C960EB" w14:textId="77777777" w:rsidR="009B6A7E" w:rsidRDefault="009B6A7E" w:rsidP="009B6A7E">
      <w:pPr>
        <w:pStyle w:val="ListParagraph"/>
        <w:rPr>
          <w:rFonts w:ascii="Arial" w:hAnsi="Arial" w:cs="Arial"/>
        </w:rPr>
      </w:pPr>
    </w:p>
    <w:p w14:paraId="587C8FEB" w14:textId="60E0F7A8" w:rsidR="00DF3525" w:rsidRPr="00BD523A" w:rsidRDefault="00DF3525" w:rsidP="005D522B">
      <w:pPr>
        <w:pStyle w:val="PlainText"/>
        <w:numPr>
          <w:ilvl w:val="0"/>
          <w:numId w:val="33"/>
        </w:numPr>
        <w:contextualSpacing/>
        <w:jc w:val="both"/>
        <w:rPr>
          <w:rFonts w:ascii="Arial" w:hAnsi="Arial" w:cs="Arial"/>
          <w:szCs w:val="22"/>
        </w:rPr>
      </w:pPr>
      <w:r w:rsidRPr="00BD523A">
        <w:rPr>
          <w:rFonts w:ascii="Arial" w:hAnsi="Arial" w:cs="Arial"/>
          <w:szCs w:val="22"/>
        </w:rPr>
        <w:t>The University recorded</w:t>
      </w:r>
      <w:r w:rsidR="00F95591">
        <w:rPr>
          <w:rFonts w:ascii="Arial" w:hAnsi="Arial" w:cs="Arial"/>
          <w:szCs w:val="22"/>
        </w:rPr>
        <w:t xml:space="preserve"> </w:t>
      </w:r>
      <w:r w:rsidR="00765A8E">
        <w:rPr>
          <w:rFonts w:ascii="Arial" w:hAnsi="Arial" w:cs="Arial"/>
          <w:szCs w:val="22"/>
        </w:rPr>
        <w:t>34</w:t>
      </w:r>
      <w:r w:rsidR="00F95591">
        <w:rPr>
          <w:rFonts w:ascii="Arial" w:hAnsi="Arial" w:cs="Arial"/>
          <w:szCs w:val="22"/>
        </w:rPr>
        <w:t xml:space="preserve"> frontline</w:t>
      </w:r>
      <w:r w:rsidRPr="00BD523A">
        <w:rPr>
          <w:rFonts w:ascii="Arial" w:hAnsi="Arial" w:cs="Arial"/>
          <w:szCs w:val="22"/>
        </w:rPr>
        <w:t xml:space="preserve"> complaints during the </w:t>
      </w:r>
      <w:r w:rsidR="00561938">
        <w:rPr>
          <w:rFonts w:ascii="Arial" w:hAnsi="Arial" w:cs="Arial"/>
          <w:szCs w:val="22"/>
        </w:rPr>
        <w:t>f</w:t>
      </w:r>
      <w:r w:rsidR="00765A8E">
        <w:rPr>
          <w:rFonts w:ascii="Arial" w:hAnsi="Arial" w:cs="Arial"/>
          <w:szCs w:val="22"/>
        </w:rPr>
        <w:t>irst</w:t>
      </w:r>
      <w:r w:rsidRPr="00BD523A">
        <w:rPr>
          <w:rFonts w:ascii="Arial" w:hAnsi="Arial" w:cs="Arial"/>
          <w:szCs w:val="22"/>
        </w:rPr>
        <w:t xml:space="preserve"> quarter of </w:t>
      </w:r>
      <w:r w:rsidR="00CF526F" w:rsidRPr="00BD523A">
        <w:rPr>
          <w:rFonts w:ascii="Arial" w:hAnsi="Arial" w:cs="Arial"/>
          <w:szCs w:val="22"/>
        </w:rPr>
        <w:t>202</w:t>
      </w:r>
      <w:r w:rsidR="00765A8E">
        <w:rPr>
          <w:rFonts w:ascii="Arial" w:hAnsi="Arial" w:cs="Arial"/>
          <w:szCs w:val="22"/>
        </w:rPr>
        <w:t>3/24, an increase of 42% from the first quarter of 2022/23</w:t>
      </w:r>
      <w:r w:rsidR="00C74FEC">
        <w:rPr>
          <w:rFonts w:ascii="Arial" w:hAnsi="Arial" w:cs="Arial"/>
          <w:szCs w:val="22"/>
        </w:rPr>
        <w:t>.</w:t>
      </w:r>
      <w:r w:rsidR="001B332B">
        <w:rPr>
          <w:rFonts w:ascii="Arial" w:hAnsi="Arial" w:cs="Arial"/>
          <w:szCs w:val="22"/>
        </w:rPr>
        <w:t xml:space="preserve"> </w:t>
      </w:r>
      <w:r w:rsidR="004424C1" w:rsidRPr="00BD523A">
        <w:rPr>
          <w:rFonts w:ascii="Arial" w:hAnsi="Arial" w:cs="Arial"/>
          <w:szCs w:val="22"/>
        </w:rPr>
        <w:t>Of the complaints received,</w:t>
      </w:r>
      <w:r w:rsidR="003D4118">
        <w:rPr>
          <w:rFonts w:ascii="Arial" w:hAnsi="Arial" w:cs="Arial"/>
          <w:szCs w:val="22"/>
        </w:rPr>
        <w:t xml:space="preserve"> 2</w:t>
      </w:r>
      <w:r w:rsidR="00765A8E">
        <w:rPr>
          <w:rFonts w:ascii="Arial" w:hAnsi="Arial" w:cs="Arial"/>
          <w:szCs w:val="22"/>
        </w:rPr>
        <w:t>9</w:t>
      </w:r>
      <w:r w:rsidR="003D4118">
        <w:rPr>
          <w:rFonts w:ascii="Arial" w:hAnsi="Arial" w:cs="Arial"/>
          <w:szCs w:val="22"/>
        </w:rPr>
        <w:t xml:space="preserve"> were from students, </w:t>
      </w:r>
      <w:r w:rsidR="00765A8E">
        <w:rPr>
          <w:rFonts w:ascii="Arial" w:hAnsi="Arial" w:cs="Arial"/>
          <w:szCs w:val="22"/>
        </w:rPr>
        <w:t xml:space="preserve">three </w:t>
      </w:r>
      <w:r w:rsidR="009815E6">
        <w:rPr>
          <w:rFonts w:ascii="Arial" w:hAnsi="Arial" w:cs="Arial"/>
          <w:szCs w:val="22"/>
        </w:rPr>
        <w:t>from</w:t>
      </w:r>
      <w:r w:rsidR="003D4118">
        <w:rPr>
          <w:rFonts w:ascii="Arial" w:hAnsi="Arial" w:cs="Arial"/>
          <w:szCs w:val="22"/>
        </w:rPr>
        <w:t xml:space="preserve"> member of the public</w:t>
      </w:r>
      <w:r w:rsidR="00765A8E">
        <w:rPr>
          <w:rFonts w:ascii="Arial" w:hAnsi="Arial" w:cs="Arial"/>
          <w:szCs w:val="22"/>
        </w:rPr>
        <w:t xml:space="preserve"> and two from applicants for study</w:t>
      </w:r>
      <w:r w:rsidR="006A5469" w:rsidRPr="00BD523A">
        <w:rPr>
          <w:rFonts w:ascii="Arial" w:hAnsi="Arial" w:cs="Arial"/>
          <w:szCs w:val="22"/>
        </w:rPr>
        <w:t>.</w:t>
      </w:r>
      <w:r w:rsidR="001B332B">
        <w:rPr>
          <w:rFonts w:ascii="Arial" w:hAnsi="Arial" w:cs="Arial"/>
          <w:szCs w:val="22"/>
        </w:rPr>
        <w:t xml:space="preserve"> </w:t>
      </w:r>
      <w:r w:rsidRPr="00BD523A">
        <w:rPr>
          <w:rFonts w:ascii="Arial" w:hAnsi="Arial" w:cs="Arial"/>
          <w:szCs w:val="22"/>
        </w:rPr>
        <w:t xml:space="preserve">Complaints were received across </w:t>
      </w:r>
      <w:r w:rsidR="002A303B">
        <w:rPr>
          <w:rFonts w:ascii="Arial" w:hAnsi="Arial" w:cs="Arial"/>
          <w:szCs w:val="22"/>
        </w:rPr>
        <w:t>all the</w:t>
      </w:r>
      <w:r w:rsidRPr="00BD523A">
        <w:rPr>
          <w:rFonts w:ascii="Arial" w:hAnsi="Arial" w:cs="Arial"/>
          <w:szCs w:val="22"/>
        </w:rPr>
        <w:t xml:space="preserve"> </w:t>
      </w:r>
      <w:r w:rsidR="001650D0" w:rsidRPr="00BD523A">
        <w:rPr>
          <w:rFonts w:ascii="Arial" w:hAnsi="Arial" w:cs="Arial"/>
          <w:szCs w:val="22"/>
        </w:rPr>
        <w:t>faculties</w:t>
      </w:r>
      <w:r w:rsidRPr="00BD523A">
        <w:rPr>
          <w:rFonts w:ascii="Arial" w:hAnsi="Arial" w:cs="Arial"/>
          <w:szCs w:val="22"/>
        </w:rPr>
        <w:t xml:space="preserve"> and Professional Service</w:t>
      </w:r>
      <w:r w:rsidR="00C4770F" w:rsidRPr="00BD523A">
        <w:rPr>
          <w:rFonts w:ascii="Arial" w:hAnsi="Arial" w:cs="Arial"/>
          <w:szCs w:val="22"/>
        </w:rPr>
        <w:t xml:space="preserve">s </w:t>
      </w:r>
      <w:r w:rsidR="003615F6">
        <w:rPr>
          <w:rFonts w:ascii="Arial" w:hAnsi="Arial" w:cs="Arial"/>
          <w:szCs w:val="22"/>
        </w:rPr>
        <w:t>(Information Services and Student Experience)</w:t>
      </w:r>
      <w:r w:rsidRPr="00BD523A">
        <w:rPr>
          <w:rFonts w:ascii="Arial" w:hAnsi="Arial" w:cs="Arial"/>
          <w:szCs w:val="22"/>
        </w:rPr>
        <w:t>.</w:t>
      </w:r>
      <w:r w:rsidR="001B332B">
        <w:rPr>
          <w:rFonts w:ascii="Arial" w:hAnsi="Arial" w:cs="Arial"/>
          <w:szCs w:val="22"/>
        </w:rPr>
        <w:t xml:space="preserve"> </w:t>
      </w:r>
      <w:r w:rsidRPr="00BD523A">
        <w:rPr>
          <w:rFonts w:ascii="Arial" w:hAnsi="Arial" w:cs="Arial"/>
          <w:szCs w:val="22"/>
        </w:rPr>
        <w:t>The most frequent types of complaints recorded were those relating to:</w:t>
      </w:r>
    </w:p>
    <w:p w14:paraId="587C8FEC" w14:textId="77777777" w:rsidR="00DF3525" w:rsidRDefault="00DF3525" w:rsidP="00DF3525">
      <w:pPr>
        <w:pStyle w:val="ListParagraph"/>
        <w:rPr>
          <w:rFonts w:ascii="Arial" w:hAnsi="Arial" w:cs="Arial"/>
        </w:rPr>
      </w:pPr>
    </w:p>
    <w:p w14:paraId="4AC235FD" w14:textId="6A093C43" w:rsidR="00837052" w:rsidRDefault="00765A8E" w:rsidP="005D522B">
      <w:pPr>
        <w:pStyle w:val="PlainText"/>
        <w:numPr>
          <w:ilvl w:val="0"/>
          <w:numId w:val="34"/>
        </w:numPr>
        <w:contextualSpacing/>
        <w:rPr>
          <w:rFonts w:ascii="Arial" w:hAnsi="Arial" w:cs="Arial"/>
        </w:rPr>
      </w:pPr>
      <w:r>
        <w:rPr>
          <w:rFonts w:ascii="Arial" w:hAnsi="Arial" w:cs="Arial"/>
        </w:rPr>
        <w:t>Staff Attitude and/or Conduct</w:t>
      </w:r>
      <w:r w:rsidR="00837052">
        <w:rPr>
          <w:rFonts w:ascii="Arial" w:hAnsi="Arial" w:cs="Arial"/>
        </w:rPr>
        <w:t xml:space="preserve"> (</w:t>
      </w:r>
      <w:r>
        <w:rPr>
          <w:rFonts w:ascii="Arial" w:hAnsi="Arial" w:cs="Arial"/>
        </w:rPr>
        <w:t>34</w:t>
      </w:r>
      <w:r w:rsidR="00837052">
        <w:rPr>
          <w:rFonts w:ascii="Arial" w:hAnsi="Arial" w:cs="Arial"/>
        </w:rPr>
        <w:t>%)</w:t>
      </w:r>
    </w:p>
    <w:p w14:paraId="713BA30B" w14:textId="189D80A6" w:rsidR="00C74FEC" w:rsidRPr="003D4118" w:rsidRDefault="00765A8E" w:rsidP="003D4118">
      <w:pPr>
        <w:pStyle w:val="PlainText"/>
        <w:numPr>
          <w:ilvl w:val="0"/>
          <w:numId w:val="34"/>
        </w:numPr>
        <w:contextualSpacing/>
        <w:rPr>
          <w:rFonts w:ascii="Arial" w:hAnsi="Arial" w:cs="Arial"/>
        </w:rPr>
      </w:pPr>
      <w:r>
        <w:rPr>
          <w:rFonts w:ascii="Arial" w:hAnsi="Arial" w:cs="Arial"/>
        </w:rPr>
        <w:t>Service Provision</w:t>
      </w:r>
      <w:r w:rsidR="003D4118">
        <w:rPr>
          <w:rFonts w:ascii="Arial" w:hAnsi="Arial" w:cs="Arial"/>
        </w:rPr>
        <w:t xml:space="preserve"> (</w:t>
      </w:r>
      <w:r>
        <w:rPr>
          <w:rFonts w:ascii="Arial" w:hAnsi="Arial" w:cs="Arial"/>
        </w:rPr>
        <w:t>23</w:t>
      </w:r>
      <w:r w:rsidR="003D4118">
        <w:rPr>
          <w:rFonts w:ascii="Arial" w:hAnsi="Arial" w:cs="Arial"/>
        </w:rPr>
        <w:t>%)</w:t>
      </w:r>
    </w:p>
    <w:p w14:paraId="62FAFEE5" w14:textId="5121C13C" w:rsidR="007604C9" w:rsidRDefault="003615F6" w:rsidP="005D522B">
      <w:pPr>
        <w:pStyle w:val="PlainText"/>
        <w:numPr>
          <w:ilvl w:val="0"/>
          <w:numId w:val="34"/>
        </w:numPr>
        <w:contextualSpacing/>
        <w:rPr>
          <w:rFonts w:ascii="Arial" w:hAnsi="Arial" w:cs="Arial"/>
        </w:rPr>
      </w:pPr>
      <w:r>
        <w:rPr>
          <w:rFonts w:ascii="Arial" w:hAnsi="Arial" w:cs="Arial"/>
        </w:rPr>
        <w:t>University Policies and Procedures</w:t>
      </w:r>
      <w:r w:rsidR="00765A8E">
        <w:rPr>
          <w:rFonts w:ascii="Arial" w:hAnsi="Arial" w:cs="Arial"/>
        </w:rPr>
        <w:t xml:space="preserve"> </w:t>
      </w:r>
      <w:r w:rsidR="00343941">
        <w:rPr>
          <w:rFonts w:ascii="Arial" w:hAnsi="Arial" w:cs="Arial"/>
        </w:rPr>
        <w:t>(</w:t>
      </w:r>
      <w:r>
        <w:rPr>
          <w:rFonts w:ascii="Arial" w:hAnsi="Arial" w:cs="Arial"/>
        </w:rPr>
        <w:t>1</w:t>
      </w:r>
      <w:r w:rsidR="00765A8E">
        <w:rPr>
          <w:rFonts w:ascii="Arial" w:hAnsi="Arial" w:cs="Arial"/>
        </w:rPr>
        <w:t>2</w:t>
      </w:r>
      <w:r w:rsidR="00C74FEC">
        <w:rPr>
          <w:rFonts w:ascii="Arial" w:hAnsi="Arial" w:cs="Arial"/>
        </w:rPr>
        <w:t>%)</w:t>
      </w:r>
    </w:p>
    <w:p w14:paraId="16FF05F2" w14:textId="7AD601A4" w:rsidR="00765A8E" w:rsidRDefault="00765A8E" w:rsidP="005D522B">
      <w:pPr>
        <w:pStyle w:val="PlainText"/>
        <w:numPr>
          <w:ilvl w:val="0"/>
          <w:numId w:val="34"/>
        </w:numPr>
        <w:contextualSpacing/>
        <w:rPr>
          <w:rFonts w:ascii="Arial" w:hAnsi="Arial" w:cs="Arial"/>
        </w:rPr>
      </w:pPr>
      <w:r>
        <w:rPr>
          <w:rFonts w:ascii="Arial" w:hAnsi="Arial" w:cs="Arial"/>
        </w:rPr>
        <w:t>Academic Support (12%)</w:t>
      </w:r>
    </w:p>
    <w:p w14:paraId="51FB145D" w14:textId="28492202" w:rsidR="00343941" w:rsidRDefault="00343941" w:rsidP="00343941">
      <w:pPr>
        <w:pStyle w:val="PlainText"/>
        <w:contextualSpacing/>
        <w:jc w:val="both"/>
        <w:rPr>
          <w:rFonts w:ascii="Arial" w:hAnsi="Arial" w:cs="Arial"/>
        </w:rPr>
      </w:pPr>
    </w:p>
    <w:p w14:paraId="18AA619F" w14:textId="53FA6E59" w:rsidR="00343941" w:rsidRDefault="00765A8E" w:rsidP="005D522B">
      <w:pPr>
        <w:pStyle w:val="PlainText"/>
        <w:numPr>
          <w:ilvl w:val="0"/>
          <w:numId w:val="33"/>
        </w:numPr>
        <w:contextualSpacing/>
        <w:jc w:val="both"/>
        <w:rPr>
          <w:rFonts w:ascii="Arial" w:hAnsi="Arial" w:cs="Arial"/>
        </w:rPr>
      </w:pPr>
      <w:r>
        <w:rPr>
          <w:rFonts w:ascii="Arial" w:hAnsi="Arial" w:cs="Arial"/>
        </w:rPr>
        <w:t xml:space="preserve">Staff Attitude and Conduct complaints </w:t>
      </w:r>
      <w:r w:rsidR="003615F6">
        <w:rPr>
          <w:rFonts w:ascii="Arial" w:hAnsi="Arial" w:cs="Arial"/>
        </w:rPr>
        <w:t xml:space="preserve">were spread across University faculties and related to different issues </w:t>
      </w:r>
      <w:r w:rsidR="004D4529">
        <w:rPr>
          <w:rFonts w:ascii="Arial" w:hAnsi="Arial" w:cs="Arial"/>
        </w:rPr>
        <w:t xml:space="preserve">including inappropriate language and behaviour, </w:t>
      </w:r>
      <w:proofErr w:type="gramStart"/>
      <w:r w:rsidR="004D4529">
        <w:rPr>
          <w:rFonts w:ascii="Arial" w:hAnsi="Arial" w:cs="Arial"/>
        </w:rPr>
        <w:t>discrimination</w:t>
      </w:r>
      <w:proofErr w:type="gramEnd"/>
      <w:r w:rsidR="004D4529">
        <w:rPr>
          <w:rFonts w:ascii="Arial" w:hAnsi="Arial" w:cs="Arial"/>
        </w:rPr>
        <w:t xml:space="preserve"> and unconscious bias. The total number of Staff Attitude and Conduct complaints (11) for the first quarter was half of last </w:t>
      </w:r>
      <w:r w:rsidR="00935942">
        <w:rPr>
          <w:rFonts w:ascii="Arial" w:hAnsi="Arial" w:cs="Arial"/>
        </w:rPr>
        <w:t>year’s</w:t>
      </w:r>
      <w:r w:rsidR="004D4529">
        <w:rPr>
          <w:rFonts w:ascii="Arial" w:hAnsi="Arial" w:cs="Arial"/>
        </w:rPr>
        <w:t xml:space="preserve"> total (22) and we expect this trend to continue upwards as students become more aware of what is acceptable behaviour and the University continues to prioritise the safety, health and wellbeing of students on campus through initiatives such as Safe 360</w:t>
      </w:r>
      <w:r w:rsidR="006A3DA3">
        <w:rPr>
          <w:rFonts w:ascii="Arial" w:hAnsi="Arial" w:cs="Arial"/>
        </w:rPr>
        <w:t xml:space="preserve"> and the </w:t>
      </w:r>
      <w:r w:rsidR="004D4529">
        <w:rPr>
          <w:rFonts w:ascii="Arial" w:hAnsi="Arial" w:cs="Arial"/>
        </w:rPr>
        <w:t>Strathclyde Community Commitment</w:t>
      </w:r>
      <w:r w:rsidR="006A3DA3">
        <w:rPr>
          <w:rFonts w:ascii="Arial" w:hAnsi="Arial" w:cs="Arial"/>
        </w:rPr>
        <w:t xml:space="preserve">. </w:t>
      </w:r>
    </w:p>
    <w:p w14:paraId="23B7642F" w14:textId="77777777" w:rsidR="006A3DA3" w:rsidRDefault="006A3DA3" w:rsidP="006A3DA3">
      <w:pPr>
        <w:pStyle w:val="PlainText"/>
        <w:ind w:left="720"/>
        <w:contextualSpacing/>
        <w:jc w:val="both"/>
        <w:rPr>
          <w:rFonts w:ascii="Arial" w:hAnsi="Arial" w:cs="Arial"/>
        </w:rPr>
      </w:pPr>
    </w:p>
    <w:p w14:paraId="0A0219EA" w14:textId="5003D7E5" w:rsidR="006A3DA3" w:rsidRPr="00D5612E" w:rsidRDefault="006A3DA3" w:rsidP="005D522B">
      <w:pPr>
        <w:pStyle w:val="PlainText"/>
        <w:numPr>
          <w:ilvl w:val="0"/>
          <w:numId w:val="33"/>
        </w:numPr>
        <w:contextualSpacing/>
        <w:jc w:val="both"/>
        <w:rPr>
          <w:rFonts w:ascii="Arial" w:hAnsi="Arial" w:cs="Arial"/>
        </w:rPr>
      </w:pPr>
      <w:r>
        <w:rPr>
          <w:rFonts w:ascii="Arial" w:hAnsi="Arial" w:cs="Arial"/>
        </w:rPr>
        <w:t xml:space="preserve">With the above in mind, we organised for our solicitors Andersen and Strathearn to </w:t>
      </w:r>
      <w:r w:rsidR="00943B24">
        <w:rPr>
          <w:rFonts w:ascii="Arial" w:hAnsi="Arial" w:cs="Arial"/>
        </w:rPr>
        <w:t>conduct</w:t>
      </w:r>
      <w:r>
        <w:rPr>
          <w:rFonts w:ascii="Arial" w:hAnsi="Arial" w:cs="Arial"/>
        </w:rPr>
        <w:t xml:space="preserve"> training </w:t>
      </w:r>
      <w:r w:rsidR="00943B24">
        <w:rPr>
          <w:rFonts w:ascii="Arial" w:hAnsi="Arial" w:cs="Arial"/>
        </w:rPr>
        <w:t xml:space="preserve">for our investigators </w:t>
      </w:r>
      <w:r>
        <w:rPr>
          <w:rFonts w:ascii="Arial" w:hAnsi="Arial" w:cs="Arial"/>
        </w:rPr>
        <w:t>with a specific focus on complaints against staff and particularly those that may require further HR in</w:t>
      </w:r>
      <w:r w:rsidR="00943B24">
        <w:rPr>
          <w:rFonts w:ascii="Arial" w:hAnsi="Arial" w:cs="Arial"/>
        </w:rPr>
        <w:t>volvement</w:t>
      </w:r>
      <w:r>
        <w:rPr>
          <w:rFonts w:ascii="Arial" w:hAnsi="Arial" w:cs="Arial"/>
        </w:rPr>
        <w:t xml:space="preserve"> at the </w:t>
      </w:r>
      <w:r w:rsidR="00935942">
        <w:rPr>
          <w:rFonts w:ascii="Arial" w:hAnsi="Arial" w:cs="Arial"/>
        </w:rPr>
        <w:t>complaint’s</w:t>
      </w:r>
      <w:r>
        <w:rPr>
          <w:rFonts w:ascii="Arial" w:hAnsi="Arial" w:cs="Arial"/>
        </w:rPr>
        <w:t xml:space="preserve"> conclusion. The first session took place on 5 December 2023 with another five scheduled for 2024 and we hope this will provide investigators with the support and knowledge that they require to carry out potentially complex and sensitive investigations</w:t>
      </w:r>
      <w:r w:rsidR="00943B24">
        <w:rPr>
          <w:rFonts w:ascii="Arial" w:hAnsi="Arial" w:cs="Arial"/>
        </w:rPr>
        <w:t>.</w:t>
      </w:r>
    </w:p>
    <w:p w14:paraId="2E5934C2" w14:textId="77777777" w:rsidR="004B60A3" w:rsidRDefault="004B60A3" w:rsidP="00DF3525">
      <w:pPr>
        <w:pStyle w:val="PlainText"/>
        <w:tabs>
          <w:tab w:val="left" w:pos="2670"/>
        </w:tabs>
        <w:ind w:left="426" w:hanging="426"/>
        <w:contextualSpacing/>
        <w:jc w:val="both"/>
        <w:rPr>
          <w:rFonts w:ascii="Arial" w:hAnsi="Arial" w:cs="Arial"/>
          <w:szCs w:val="22"/>
        </w:rPr>
      </w:pPr>
    </w:p>
    <w:p w14:paraId="4EC51925" w14:textId="704843A1" w:rsidR="00D221DD" w:rsidRPr="000210B9" w:rsidRDefault="004272DC" w:rsidP="00010AEE">
      <w:pPr>
        <w:pStyle w:val="PlainText"/>
        <w:numPr>
          <w:ilvl w:val="0"/>
          <w:numId w:val="33"/>
        </w:numPr>
        <w:contextualSpacing/>
        <w:jc w:val="both"/>
        <w:rPr>
          <w:rFonts w:ascii="Arial" w:hAnsi="Arial" w:cs="Arial"/>
        </w:rPr>
      </w:pPr>
      <w:r w:rsidRPr="00BD523A">
        <w:rPr>
          <w:rFonts w:ascii="Arial" w:hAnsi="Arial" w:cs="Arial"/>
          <w:szCs w:val="22"/>
        </w:rPr>
        <w:lastRenderedPageBreak/>
        <w:t>T</w:t>
      </w:r>
      <w:r w:rsidR="00DF3525" w:rsidRPr="00BD523A">
        <w:rPr>
          <w:rFonts w:ascii="Arial" w:hAnsi="Arial" w:cs="Arial"/>
          <w:szCs w:val="22"/>
        </w:rPr>
        <w:t xml:space="preserve">he average time taken to resolve frontline complaints </w:t>
      </w:r>
      <w:r w:rsidR="00D52C0B">
        <w:rPr>
          <w:rFonts w:ascii="Arial" w:hAnsi="Arial" w:cs="Arial"/>
          <w:szCs w:val="22"/>
        </w:rPr>
        <w:t>decreased</w:t>
      </w:r>
      <w:r w:rsidR="00782FA7" w:rsidRPr="00BD523A">
        <w:rPr>
          <w:rFonts w:ascii="Arial" w:hAnsi="Arial" w:cs="Arial"/>
          <w:szCs w:val="22"/>
        </w:rPr>
        <w:t xml:space="preserve"> </w:t>
      </w:r>
      <w:r w:rsidR="003569F6" w:rsidRPr="00BD523A">
        <w:rPr>
          <w:rFonts w:ascii="Arial" w:hAnsi="Arial" w:cs="Arial"/>
          <w:szCs w:val="22"/>
        </w:rPr>
        <w:t>from</w:t>
      </w:r>
      <w:r w:rsidR="00DB0BD2">
        <w:rPr>
          <w:rFonts w:ascii="Arial" w:hAnsi="Arial" w:cs="Arial"/>
          <w:szCs w:val="22"/>
        </w:rPr>
        <w:t xml:space="preserve"> </w:t>
      </w:r>
      <w:r w:rsidR="00D52C0B">
        <w:rPr>
          <w:rFonts w:ascii="Arial" w:hAnsi="Arial" w:cs="Arial"/>
          <w:szCs w:val="22"/>
        </w:rPr>
        <w:t xml:space="preserve">10 </w:t>
      </w:r>
      <w:r w:rsidR="00C71550">
        <w:rPr>
          <w:rFonts w:ascii="Arial" w:hAnsi="Arial" w:cs="Arial"/>
          <w:szCs w:val="22"/>
        </w:rPr>
        <w:t>days</w:t>
      </w:r>
      <w:r w:rsidR="00A218C8">
        <w:rPr>
          <w:rFonts w:ascii="Arial" w:hAnsi="Arial" w:cs="Arial"/>
          <w:szCs w:val="22"/>
        </w:rPr>
        <w:t xml:space="preserve"> in the previous quarter</w:t>
      </w:r>
      <w:r w:rsidR="00152292">
        <w:rPr>
          <w:rFonts w:ascii="Arial" w:hAnsi="Arial" w:cs="Arial"/>
          <w:szCs w:val="22"/>
        </w:rPr>
        <w:t xml:space="preserve"> to </w:t>
      </w:r>
      <w:r w:rsidR="00D52C0B">
        <w:rPr>
          <w:rFonts w:ascii="Arial" w:hAnsi="Arial" w:cs="Arial"/>
          <w:szCs w:val="22"/>
        </w:rPr>
        <w:t>7.3</w:t>
      </w:r>
      <w:r w:rsidR="00152292">
        <w:rPr>
          <w:rFonts w:ascii="Arial" w:hAnsi="Arial" w:cs="Arial"/>
          <w:szCs w:val="22"/>
        </w:rPr>
        <w:t xml:space="preserve"> days with </w:t>
      </w:r>
      <w:r w:rsidR="008864B3">
        <w:rPr>
          <w:rFonts w:ascii="Arial" w:hAnsi="Arial" w:cs="Arial"/>
          <w:szCs w:val="22"/>
        </w:rPr>
        <w:t>50%</w:t>
      </w:r>
      <w:r w:rsidR="00152292">
        <w:rPr>
          <w:rFonts w:ascii="Arial" w:hAnsi="Arial" w:cs="Arial"/>
          <w:szCs w:val="22"/>
        </w:rPr>
        <w:t xml:space="preserve"> of complaints closing within the 5 working day timescale target</w:t>
      </w:r>
      <w:r w:rsidR="00D753AC" w:rsidRPr="00BD523A">
        <w:rPr>
          <w:rFonts w:ascii="Arial" w:hAnsi="Arial" w:cs="Arial"/>
          <w:szCs w:val="22"/>
        </w:rPr>
        <w:t>.</w:t>
      </w:r>
      <w:r w:rsidR="001B332B">
        <w:rPr>
          <w:rFonts w:ascii="Arial" w:hAnsi="Arial" w:cs="Arial"/>
          <w:szCs w:val="22"/>
        </w:rPr>
        <w:t xml:space="preserve"> </w:t>
      </w:r>
      <w:r w:rsidR="00A25D69">
        <w:rPr>
          <w:rFonts w:ascii="Arial" w:hAnsi="Arial" w:cs="Arial"/>
          <w:szCs w:val="22"/>
        </w:rPr>
        <w:t>T</w:t>
      </w:r>
      <w:r w:rsidR="00C04660" w:rsidRPr="00BD523A">
        <w:rPr>
          <w:rFonts w:ascii="Arial" w:hAnsi="Arial" w:cs="Arial"/>
          <w:szCs w:val="22"/>
        </w:rPr>
        <w:t>he revised CHP requires frontline complaints to be closed on day 10 or moved to stage 2.</w:t>
      </w:r>
      <w:r w:rsidR="001B332B">
        <w:rPr>
          <w:rFonts w:ascii="Arial" w:hAnsi="Arial" w:cs="Arial"/>
          <w:szCs w:val="22"/>
        </w:rPr>
        <w:t xml:space="preserve"> </w:t>
      </w:r>
      <w:r w:rsidR="008864B3">
        <w:rPr>
          <w:rFonts w:ascii="Arial" w:hAnsi="Arial" w:cs="Arial"/>
          <w:szCs w:val="22"/>
        </w:rPr>
        <w:t>Three</w:t>
      </w:r>
      <w:r w:rsidR="00C04660" w:rsidRPr="00BD523A">
        <w:rPr>
          <w:rFonts w:ascii="Arial" w:hAnsi="Arial" w:cs="Arial"/>
          <w:szCs w:val="22"/>
        </w:rPr>
        <w:t xml:space="preserve"> frontline complaint</w:t>
      </w:r>
      <w:r w:rsidR="00152292">
        <w:rPr>
          <w:rFonts w:ascii="Arial" w:hAnsi="Arial" w:cs="Arial"/>
          <w:szCs w:val="22"/>
        </w:rPr>
        <w:t>s</w:t>
      </w:r>
      <w:r w:rsidR="00C04660" w:rsidRPr="00BD523A">
        <w:rPr>
          <w:rFonts w:ascii="Arial" w:hAnsi="Arial" w:cs="Arial"/>
          <w:szCs w:val="22"/>
        </w:rPr>
        <w:t xml:space="preserve"> took over 10 </w:t>
      </w:r>
      <w:r w:rsidR="009F246F">
        <w:rPr>
          <w:rFonts w:ascii="Arial" w:hAnsi="Arial" w:cs="Arial"/>
          <w:szCs w:val="22"/>
        </w:rPr>
        <w:t>days</w:t>
      </w:r>
      <w:r w:rsidR="00152292">
        <w:rPr>
          <w:rFonts w:ascii="Arial" w:hAnsi="Arial" w:cs="Arial"/>
          <w:szCs w:val="22"/>
        </w:rPr>
        <w:t xml:space="preserve"> </w:t>
      </w:r>
      <w:r w:rsidR="0094441B">
        <w:rPr>
          <w:rFonts w:ascii="Arial" w:hAnsi="Arial" w:cs="Arial"/>
          <w:szCs w:val="22"/>
        </w:rPr>
        <w:t>and</w:t>
      </w:r>
      <w:r w:rsidR="00152292">
        <w:rPr>
          <w:rFonts w:ascii="Arial" w:hAnsi="Arial" w:cs="Arial"/>
          <w:szCs w:val="22"/>
        </w:rPr>
        <w:t xml:space="preserve"> </w:t>
      </w:r>
      <w:r w:rsidR="0094441B">
        <w:rPr>
          <w:rFonts w:ascii="Arial" w:hAnsi="Arial" w:cs="Arial"/>
          <w:szCs w:val="22"/>
        </w:rPr>
        <w:t>a</w:t>
      </w:r>
      <w:r w:rsidR="00152292">
        <w:rPr>
          <w:rFonts w:ascii="Arial" w:hAnsi="Arial" w:cs="Arial"/>
          <w:szCs w:val="22"/>
        </w:rPr>
        <w:t xml:space="preserve">n email will be sent to all complaints champions to remind their teams to ensure complaints are being escalated </w:t>
      </w:r>
      <w:r w:rsidR="008B712F">
        <w:rPr>
          <w:rFonts w:ascii="Arial" w:hAnsi="Arial" w:cs="Arial"/>
          <w:szCs w:val="22"/>
        </w:rPr>
        <w:t>to Stage 2</w:t>
      </w:r>
      <w:r w:rsidR="00701331">
        <w:rPr>
          <w:rFonts w:ascii="Arial" w:hAnsi="Arial" w:cs="Arial"/>
          <w:szCs w:val="22"/>
        </w:rPr>
        <w:t xml:space="preserve"> </w:t>
      </w:r>
      <w:r w:rsidR="00152292">
        <w:rPr>
          <w:rFonts w:ascii="Arial" w:hAnsi="Arial" w:cs="Arial"/>
          <w:szCs w:val="22"/>
        </w:rPr>
        <w:t>as soon as they reach day 10.</w:t>
      </w:r>
    </w:p>
    <w:p w14:paraId="7A628166" w14:textId="77777777" w:rsidR="00D221DD" w:rsidRPr="00C163E4" w:rsidRDefault="00D221DD" w:rsidP="002425F1">
      <w:pPr>
        <w:pStyle w:val="ListParagraph"/>
        <w:rPr>
          <w:rFonts w:ascii="Arial" w:hAnsi="Arial" w:cs="Arial"/>
        </w:rPr>
      </w:pPr>
    </w:p>
    <w:p w14:paraId="51F05923" w14:textId="09DA287E" w:rsidR="00D21E92" w:rsidRPr="008F3AA4" w:rsidRDefault="00DF3525" w:rsidP="005D522B">
      <w:pPr>
        <w:pStyle w:val="PlainText"/>
        <w:numPr>
          <w:ilvl w:val="0"/>
          <w:numId w:val="33"/>
        </w:numPr>
        <w:contextualSpacing/>
        <w:jc w:val="both"/>
        <w:rPr>
          <w:rFonts w:ascii="Arial" w:hAnsi="Arial" w:cs="Arial"/>
          <w:szCs w:val="22"/>
          <w:highlight w:val="yellow"/>
        </w:rPr>
      </w:pPr>
      <w:r w:rsidRPr="00D21E92">
        <w:rPr>
          <w:rFonts w:ascii="Arial" w:hAnsi="Arial" w:cs="Arial"/>
          <w:szCs w:val="22"/>
        </w:rPr>
        <w:t xml:space="preserve">The average time taken to investigate complaints </w:t>
      </w:r>
      <w:r w:rsidR="00D21E92" w:rsidRPr="00D21E92">
        <w:rPr>
          <w:rFonts w:ascii="Arial" w:hAnsi="Arial" w:cs="Arial"/>
          <w:szCs w:val="22"/>
        </w:rPr>
        <w:t xml:space="preserve">handled directly at stage 2 </w:t>
      </w:r>
      <w:r w:rsidR="008F3AA4">
        <w:rPr>
          <w:rFonts w:ascii="Arial" w:hAnsi="Arial" w:cs="Arial"/>
          <w:szCs w:val="22"/>
        </w:rPr>
        <w:t>decreased substantially</w:t>
      </w:r>
      <w:r w:rsidR="00C71550">
        <w:rPr>
          <w:rFonts w:ascii="Arial" w:hAnsi="Arial" w:cs="Arial"/>
          <w:szCs w:val="22"/>
        </w:rPr>
        <w:t xml:space="preserve"> </w:t>
      </w:r>
      <w:r w:rsidR="00DB0BD2" w:rsidRPr="00D21E92">
        <w:rPr>
          <w:rFonts w:ascii="Arial" w:hAnsi="Arial" w:cs="Arial"/>
          <w:szCs w:val="22"/>
        </w:rPr>
        <w:t>from</w:t>
      </w:r>
      <w:r w:rsidR="0094441B">
        <w:rPr>
          <w:rFonts w:ascii="Arial" w:hAnsi="Arial" w:cs="Arial"/>
          <w:szCs w:val="22"/>
        </w:rPr>
        <w:t xml:space="preserve"> 4</w:t>
      </w:r>
      <w:r w:rsidR="003A7804">
        <w:rPr>
          <w:rFonts w:ascii="Arial" w:hAnsi="Arial" w:cs="Arial"/>
          <w:szCs w:val="22"/>
        </w:rPr>
        <w:t>0.3 days</w:t>
      </w:r>
      <w:r w:rsidR="008F3AA4">
        <w:rPr>
          <w:rFonts w:ascii="Arial" w:hAnsi="Arial" w:cs="Arial"/>
          <w:szCs w:val="22"/>
        </w:rPr>
        <w:t xml:space="preserve"> to 29.8 days</w:t>
      </w:r>
      <w:r w:rsidR="00EB07C6">
        <w:rPr>
          <w:rFonts w:ascii="Arial" w:hAnsi="Arial" w:cs="Arial"/>
          <w:szCs w:val="22"/>
        </w:rPr>
        <w:t>.</w:t>
      </w:r>
      <w:r w:rsidR="000210B9">
        <w:rPr>
          <w:rFonts w:ascii="Arial" w:hAnsi="Arial" w:cs="Arial"/>
          <w:szCs w:val="22"/>
        </w:rPr>
        <w:t xml:space="preserve"> There was a total of </w:t>
      </w:r>
      <w:r w:rsidR="008F3AA4">
        <w:rPr>
          <w:rFonts w:ascii="Arial" w:hAnsi="Arial" w:cs="Arial"/>
          <w:szCs w:val="22"/>
        </w:rPr>
        <w:t>10</w:t>
      </w:r>
      <w:r w:rsidR="000210B9">
        <w:rPr>
          <w:rFonts w:ascii="Arial" w:hAnsi="Arial" w:cs="Arial"/>
          <w:szCs w:val="22"/>
        </w:rPr>
        <w:t xml:space="preserve"> complaints investigated directly at Stage 2, </w:t>
      </w:r>
      <w:r w:rsidR="008F3AA4">
        <w:rPr>
          <w:rFonts w:ascii="Arial" w:hAnsi="Arial" w:cs="Arial"/>
          <w:szCs w:val="22"/>
        </w:rPr>
        <w:t>six</w:t>
      </w:r>
      <w:r w:rsidR="000210B9">
        <w:rPr>
          <w:rFonts w:ascii="Arial" w:hAnsi="Arial" w:cs="Arial"/>
          <w:szCs w:val="22"/>
        </w:rPr>
        <w:t xml:space="preserve"> of which w</w:t>
      </w:r>
      <w:r w:rsidR="0094441B">
        <w:rPr>
          <w:rFonts w:ascii="Arial" w:hAnsi="Arial" w:cs="Arial"/>
          <w:szCs w:val="22"/>
        </w:rPr>
        <w:t>ere</w:t>
      </w:r>
      <w:r w:rsidR="000210B9">
        <w:rPr>
          <w:rFonts w:ascii="Arial" w:hAnsi="Arial" w:cs="Arial"/>
          <w:szCs w:val="22"/>
        </w:rPr>
        <w:t xml:space="preserve"> </w:t>
      </w:r>
      <w:r w:rsidR="008F3AA4">
        <w:rPr>
          <w:rFonts w:ascii="Arial" w:hAnsi="Arial" w:cs="Arial"/>
          <w:szCs w:val="22"/>
        </w:rPr>
        <w:t>partially upheld</w:t>
      </w:r>
      <w:r w:rsidR="0094441B">
        <w:rPr>
          <w:rFonts w:ascii="Arial" w:hAnsi="Arial" w:cs="Arial"/>
          <w:szCs w:val="22"/>
        </w:rPr>
        <w:t xml:space="preserve"> and </w:t>
      </w:r>
      <w:r w:rsidR="00943B24">
        <w:rPr>
          <w:rFonts w:ascii="Arial" w:hAnsi="Arial" w:cs="Arial"/>
          <w:szCs w:val="22"/>
        </w:rPr>
        <w:t xml:space="preserve">four </w:t>
      </w:r>
      <w:r w:rsidR="008F3AA4">
        <w:rPr>
          <w:rFonts w:ascii="Arial" w:hAnsi="Arial" w:cs="Arial"/>
          <w:szCs w:val="22"/>
        </w:rPr>
        <w:t>not upheld</w:t>
      </w:r>
      <w:r w:rsidR="000210B9">
        <w:rPr>
          <w:rFonts w:ascii="Arial" w:hAnsi="Arial" w:cs="Arial"/>
          <w:szCs w:val="22"/>
        </w:rPr>
        <w:t>.</w:t>
      </w:r>
      <w:r w:rsidR="00EB07C6">
        <w:rPr>
          <w:rFonts w:ascii="Arial" w:hAnsi="Arial" w:cs="Arial"/>
          <w:szCs w:val="22"/>
        </w:rPr>
        <w:t xml:space="preserve"> </w:t>
      </w:r>
      <w:r w:rsidR="00BF566C" w:rsidRPr="00256107">
        <w:rPr>
          <w:rFonts w:ascii="Arial" w:hAnsi="Arial" w:cs="Arial"/>
          <w:szCs w:val="22"/>
        </w:rPr>
        <w:t>Six</w:t>
      </w:r>
      <w:r w:rsidR="000C7DD5" w:rsidRPr="00256107">
        <w:rPr>
          <w:rFonts w:ascii="Arial" w:hAnsi="Arial" w:cs="Arial"/>
          <w:szCs w:val="22"/>
        </w:rPr>
        <w:t xml:space="preserve"> complaint</w:t>
      </w:r>
      <w:r w:rsidR="0094441B" w:rsidRPr="00256107">
        <w:rPr>
          <w:rFonts w:ascii="Arial" w:hAnsi="Arial" w:cs="Arial"/>
          <w:szCs w:val="22"/>
        </w:rPr>
        <w:t>s</w:t>
      </w:r>
      <w:r w:rsidR="008B712F" w:rsidRPr="00256107">
        <w:rPr>
          <w:rFonts w:ascii="Arial" w:hAnsi="Arial" w:cs="Arial"/>
          <w:szCs w:val="22"/>
        </w:rPr>
        <w:t xml:space="preserve"> w</w:t>
      </w:r>
      <w:r w:rsidR="0094441B" w:rsidRPr="00256107">
        <w:rPr>
          <w:rFonts w:ascii="Arial" w:hAnsi="Arial" w:cs="Arial"/>
          <w:szCs w:val="22"/>
        </w:rPr>
        <w:t>ere</w:t>
      </w:r>
      <w:r w:rsidR="008B712F" w:rsidRPr="00256107">
        <w:rPr>
          <w:rFonts w:ascii="Arial" w:hAnsi="Arial" w:cs="Arial"/>
          <w:szCs w:val="22"/>
        </w:rPr>
        <w:t xml:space="preserve"> </w:t>
      </w:r>
      <w:r w:rsidR="00D21E92" w:rsidRPr="00256107">
        <w:rPr>
          <w:rFonts w:ascii="Arial" w:hAnsi="Arial" w:cs="Arial"/>
          <w:szCs w:val="22"/>
        </w:rPr>
        <w:t>escalated to investigation by the complainant</w:t>
      </w:r>
      <w:r w:rsidR="003A7804" w:rsidRPr="00256107">
        <w:rPr>
          <w:rFonts w:ascii="Arial" w:hAnsi="Arial" w:cs="Arial"/>
          <w:szCs w:val="22"/>
        </w:rPr>
        <w:t xml:space="preserve">. </w:t>
      </w:r>
      <w:r w:rsidR="00256107" w:rsidRPr="00256107">
        <w:rPr>
          <w:rFonts w:ascii="Arial" w:hAnsi="Arial" w:cs="Arial"/>
          <w:szCs w:val="22"/>
        </w:rPr>
        <w:t>Three</w:t>
      </w:r>
      <w:r w:rsidR="003A7804" w:rsidRPr="00256107">
        <w:rPr>
          <w:rFonts w:ascii="Arial" w:hAnsi="Arial" w:cs="Arial"/>
          <w:szCs w:val="22"/>
        </w:rPr>
        <w:t xml:space="preserve"> w</w:t>
      </w:r>
      <w:r w:rsidR="00256107" w:rsidRPr="00256107">
        <w:rPr>
          <w:rFonts w:ascii="Arial" w:hAnsi="Arial" w:cs="Arial"/>
          <w:szCs w:val="22"/>
        </w:rPr>
        <w:t>ere</w:t>
      </w:r>
      <w:r w:rsidR="003A7804" w:rsidRPr="00256107">
        <w:rPr>
          <w:rFonts w:ascii="Arial" w:hAnsi="Arial" w:cs="Arial"/>
          <w:szCs w:val="22"/>
        </w:rPr>
        <w:t xml:space="preserve"> not upheld and the </w:t>
      </w:r>
      <w:r w:rsidR="00BF566C" w:rsidRPr="00256107">
        <w:rPr>
          <w:rFonts w:ascii="Arial" w:hAnsi="Arial" w:cs="Arial"/>
          <w:szCs w:val="22"/>
        </w:rPr>
        <w:t xml:space="preserve">remaining three partially </w:t>
      </w:r>
      <w:r w:rsidR="00935942" w:rsidRPr="00256107">
        <w:rPr>
          <w:rFonts w:ascii="Arial" w:hAnsi="Arial" w:cs="Arial"/>
          <w:szCs w:val="22"/>
        </w:rPr>
        <w:t>upheld.</w:t>
      </w:r>
    </w:p>
    <w:p w14:paraId="17D62092" w14:textId="77777777" w:rsidR="005723BD" w:rsidRDefault="005723BD" w:rsidP="005723BD">
      <w:pPr>
        <w:pStyle w:val="ListParagraph"/>
        <w:rPr>
          <w:rFonts w:ascii="Arial" w:hAnsi="Arial" w:cs="Arial"/>
        </w:rPr>
      </w:pPr>
    </w:p>
    <w:p w14:paraId="13A0B896" w14:textId="6DC0CC2A" w:rsidR="005723BD" w:rsidRDefault="005723BD" w:rsidP="005D522B">
      <w:pPr>
        <w:pStyle w:val="PlainText"/>
        <w:numPr>
          <w:ilvl w:val="0"/>
          <w:numId w:val="33"/>
        </w:numPr>
        <w:contextualSpacing/>
        <w:jc w:val="both"/>
        <w:rPr>
          <w:rFonts w:ascii="Arial" w:hAnsi="Arial" w:cs="Arial"/>
          <w:szCs w:val="22"/>
        </w:rPr>
      </w:pPr>
      <w:r>
        <w:rPr>
          <w:rFonts w:ascii="Arial" w:hAnsi="Arial" w:cs="Arial"/>
          <w:szCs w:val="22"/>
        </w:rPr>
        <w:t xml:space="preserve">The </w:t>
      </w:r>
      <w:r w:rsidR="006361BD">
        <w:rPr>
          <w:rFonts w:ascii="Arial" w:hAnsi="Arial" w:cs="Arial"/>
          <w:szCs w:val="22"/>
        </w:rPr>
        <w:t>below table breaks down the total number of complaints received in this quarter and the equivalent quarter in 2021/22.</w:t>
      </w:r>
    </w:p>
    <w:p w14:paraId="25EF5999" w14:textId="77777777" w:rsidR="009815E6" w:rsidRDefault="009815E6" w:rsidP="009815E6">
      <w:pPr>
        <w:pStyle w:val="ListParagraph"/>
        <w:rPr>
          <w:rFonts w:ascii="Arial" w:hAnsi="Arial" w:cs="Arial"/>
        </w:rPr>
      </w:pPr>
    </w:p>
    <w:tbl>
      <w:tblPr>
        <w:tblStyle w:val="TableGrid"/>
        <w:tblW w:w="0" w:type="auto"/>
        <w:tblLook w:val="04A0" w:firstRow="1" w:lastRow="0" w:firstColumn="1" w:lastColumn="0" w:noHBand="0" w:noVBand="1"/>
      </w:tblPr>
      <w:tblGrid>
        <w:gridCol w:w="2091"/>
        <w:gridCol w:w="2091"/>
        <w:gridCol w:w="2091"/>
        <w:gridCol w:w="2091"/>
        <w:gridCol w:w="2092"/>
      </w:tblGrid>
      <w:tr w:rsidR="009815E6" w14:paraId="1E2BF508" w14:textId="77777777" w:rsidTr="009815E6">
        <w:tc>
          <w:tcPr>
            <w:tcW w:w="2091" w:type="dxa"/>
          </w:tcPr>
          <w:p w14:paraId="2F7377DC" w14:textId="0CF37137" w:rsidR="009815E6" w:rsidRDefault="009815E6" w:rsidP="009815E6">
            <w:pPr>
              <w:pStyle w:val="PlainText"/>
              <w:contextualSpacing/>
              <w:jc w:val="both"/>
              <w:rPr>
                <w:rFonts w:ascii="Arial" w:hAnsi="Arial" w:cs="Arial"/>
                <w:szCs w:val="22"/>
              </w:rPr>
            </w:pPr>
            <w:r>
              <w:rPr>
                <w:rFonts w:ascii="Arial" w:hAnsi="Arial" w:cs="Arial"/>
                <w:szCs w:val="22"/>
              </w:rPr>
              <w:t>Faculty</w:t>
            </w:r>
          </w:p>
        </w:tc>
        <w:tc>
          <w:tcPr>
            <w:tcW w:w="2091" w:type="dxa"/>
          </w:tcPr>
          <w:p w14:paraId="7BC9F574" w14:textId="3D6500C7" w:rsidR="009815E6" w:rsidRDefault="009815E6" w:rsidP="009815E6">
            <w:pPr>
              <w:pStyle w:val="PlainText"/>
              <w:contextualSpacing/>
              <w:jc w:val="both"/>
              <w:rPr>
                <w:rFonts w:ascii="Arial" w:hAnsi="Arial" w:cs="Arial"/>
                <w:szCs w:val="22"/>
              </w:rPr>
            </w:pPr>
            <w:r>
              <w:rPr>
                <w:rFonts w:ascii="Arial" w:hAnsi="Arial" w:cs="Arial"/>
                <w:szCs w:val="22"/>
              </w:rPr>
              <w:t>Q</w:t>
            </w:r>
            <w:r w:rsidR="00BD1F85">
              <w:rPr>
                <w:rFonts w:ascii="Arial" w:hAnsi="Arial" w:cs="Arial"/>
                <w:szCs w:val="22"/>
              </w:rPr>
              <w:t>1</w:t>
            </w:r>
            <w:r>
              <w:rPr>
                <w:rFonts w:ascii="Arial" w:hAnsi="Arial" w:cs="Arial"/>
                <w:szCs w:val="22"/>
              </w:rPr>
              <w:t xml:space="preserve"> 202</w:t>
            </w:r>
            <w:r w:rsidR="00BD1F85">
              <w:rPr>
                <w:rFonts w:ascii="Arial" w:hAnsi="Arial" w:cs="Arial"/>
                <w:szCs w:val="22"/>
              </w:rPr>
              <w:t>3/24</w:t>
            </w:r>
          </w:p>
        </w:tc>
        <w:tc>
          <w:tcPr>
            <w:tcW w:w="2091" w:type="dxa"/>
          </w:tcPr>
          <w:p w14:paraId="0DDA6EBC" w14:textId="5A97ECBA" w:rsidR="009815E6" w:rsidRDefault="009815E6" w:rsidP="009815E6">
            <w:pPr>
              <w:pStyle w:val="PlainText"/>
              <w:contextualSpacing/>
              <w:jc w:val="both"/>
              <w:rPr>
                <w:rFonts w:ascii="Arial" w:hAnsi="Arial" w:cs="Arial"/>
                <w:szCs w:val="22"/>
              </w:rPr>
            </w:pPr>
            <w:r>
              <w:rPr>
                <w:rFonts w:ascii="Arial" w:hAnsi="Arial" w:cs="Arial"/>
                <w:szCs w:val="22"/>
              </w:rPr>
              <w:t>Q</w:t>
            </w:r>
            <w:r w:rsidR="00BD1F85">
              <w:rPr>
                <w:rFonts w:ascii="Arial" w:hAnsi="Arial" w:cs="Arial"/>
                <w:szCs w:val="22"/>
              </w:rPr>
              <w:t>1</w:t>
            </w:r>
            <w:r>
              <w:rPr>
                <w:rFonts w:ascii="Arial" w:hAnsi="Arial" w:cs="Arial"/>
                <w:szCs w:val="22"/>
              </w:rPr>
              <w:t xml:space="preserve"> 202</w:t>
            </w:r>
            <w:r w:rsidR="00BD1F85">
              <w:rPr>
                <w:rFonts w:ascii="Arial" w:hAnsi="Arial" w:cs="Arial"/>
                <w:szCs w:val="22"/>
              </w:rPr>
              <w:t>2/23</w:t>
            </w:r>
          </w:p>
        </w:tc>
        <w:tc>
          <w:tcPr>
            <w:tcW w:w="2091" w:type="dxa"/>
          </w:tcPr>
          <w:p w14:paraId="0FD6E510" w14:textId="611CFDF5" w:rsidR="009815E6" w:rsidRDefault="009815E6" w:rsidP="009815E6">
            <w:pPr>
              <w:pStyle w:val="PlainText"/>
              <w:contextualSpacing/>
              <w:jc w:val="both"/>
              <w:rPr>
                <w:rFonts w:ascii="Arial" w:hAnsi="Arial" w:cs="Arial"/>
                <w:szCs w:val="22"/>
              </w:rPr>
            </w:pPr>
            <w:r>
              <w:rPr>
                <w:rFonts w:ascii="Arial" w:hAnsi="Arial" w:cs="Arial"/>
                <w:szCs w:val="22"/>
              </w:rPr>
              <w:t>Change</w:t>
            </w:r>
          </w:p>
        </w:tc>
        <w:tc>
          <w:tcPr>
            <w:tcW w:w="2092" w:type="dxa"/>
          </w:tcPr>
          <w:p w14:paraId="421E4438" w14:textId="224AD863" w:rsidR="009815E6" w:rsidRDefault="009815E6" w:rsidP="009815E6">
            <w:pPr>
              <w:pStyle w:val="PlainText"/>
              <w:contextualSpacing/>
              <w:jc w:val="both"/>
              <w:rPr>
                <w:rFonts w:ascii="Arial" w:hAnsi="Arial" w:cs="Arial"/>
                <w:szCs w:val="22"/>
              </w:rPr>
            </w:pPr>
            <w:r>
              <w:rPr>
                <w:rFonts w:ascii="Arial" w:hAnsi="Arial" w:cs="Arial"/>
                <w:szCs w:val="22"/>
              </w:rPr>
              <w:t>% Change</w:t>
            </w:r>
          </w:p>
        </w:tc>
      </w:tr>
      <w:tr w:rsidR="009815E6" w14:paraId="3AF0387D" w14:textId="77777777" w:rsidTr="009815E6">
        <w:tc>
          <w:tcPr>
            <w:tcW w:w="2091" w:type="dxa"/>
          </w:tcPr>
          <w:p w14:paraId="176401D6" w14:textId="3687691B" w:rsidR="009815E6" w:rsidRDefault="009815E6" w:rsidP="009815E6">
            <w:pPr>
              <w:pStyle w:val="PlainText"/>
              <w:contextualSpacing/>
              <w:jc w:val="both"/>
              <w:rPr>
                <w:rFonts w:ascii="Arial" w:hAnsi="Arial" w:cs="Arial"/>
                <w:szCs w:val="22"/>
              </w:rPr>
            </w:pPr>
            <w:r>
              <w:rPr>
                <w:rFonts w:ascii="Arial" w:hAnsi="Arial" w:cs="Arial"/>
                <w:szCs w:val="22"/>
              </w:rPr>
              <w:t>HAAS</w:t>
            </w:r>
          </w:p>
        </w:tc>
        <w:tc>
          <w:tcPr>
            <w:tcW w:w="2091" w:type="dxa"/>
          </w:tcPr>
          <w:p w14:paraId="72A71E9E" w14:textId="630D2CE0" w:rsidR="009815E6" w:rsidRDefault="00BD1F85" w:rsidP="009815E6">
            <w:pPr>
              <w:pStyle w:val="PlainText"/>
              <w:contextualSpacing/>
              <w:jc w:val="both"/>
              <w:rPr>
                <w:rFonts w:ascii="Arial" w:hAnsi="Arial" w:cs="Arial"/>
                <w:szCs w:val="22"/>
              </w:rPr>
            </w:pPr>
            <w:r>
              <w:rPr>
                <w:rFonts w:ascii="Arial" w:hAnsi="Arial" w:cs="Arial"/>
                <w:szCs w:val="22"/>
              </w:rPr>
              <w:t>11</w:t>
            </w:r>
          </w:p>
        </w:tc>
        <w:tc>
          <w:tcPr>
            <w:tcW w:w="2091" w:type="dxa"/>
          </w:tcPr>
          <w:p w14:paraId="104E963A" w14:textId="0B7F75AE" w:rsidR="009815E6" w:rsidRDefault="00BD1F85" w:rsidP="009815E6">
            <w:pPr>
              <w:pStyle w:val="PlainText"/>
              <w:contextualSpacing/>
              <w:jc w:val="both"/>
              <w:rPr>
                <w:rFonts w:ascii="Arial" w:hAnsi="Arial" w:cs="Arial"/>
                <w:szCs w:val="22"/>
              </w:rPr>
            </w:pPr>
            <w:r>
              <w:rPr>
                <w:rFonts w:ascii="Arial" w:hAnsi="Arial" w:cs="Arial"/>
                <w:szCs w:val="22"/>
              </w:rPr>
              <w:t>3</w:t>
            </w:r>
          </w:p>
        </w:tc>
        <w:tc>
          <w:tcPr>
            <w:tcW w:w="2091" w:type="dxa"/>
          </w:tcPr>
          <w:p w14:paraId="31E5E83E" w14:textId="6F8111D0" w:rsidR="009815E6" w:rsidRDefault="00BD1F85" w:rsidP="009815E6">
            <w:pPr>
              <w:pStyle w:val="PlainText"/>
              <w:contextualSpacing/>
              <w:jc w:val="both"/>
              <w:rPr>
                <w:rFonts w:ascii="Arial" w:hAnsi="Arial" w:cs="Arial"/>
                <w:szCs w:val="22"/>
              </w:rPr>
            </w:pPr>
            <w:r>
              <w:rPr>
                <w:rFonts w:ascii="Arial" w:hAnsi="Arial" w:cs="Arial"/>
                <w:szCs w:val="22"/>
              </w:rPr>
              <w:t>+8</w:t>
            </w:r>
          </w:p>
        </w:tc>
        <w:tc>
          <w:tcPr>
            <w:tcW w:w="2092" w:type="dxa"/>
          </w:tcPr>
          <w:p w14:paraId="5C0B5CB3" w14:textId="143ADA7E" w:rsidR="009815E6" w:rsidRDefault="00BD1F85" w:rsidP="009815E6">
            <w:pPr>
              <w:pStyle w:val="PlainText"/>
              <w:contextualSpacing/>
              <w:jc w:val="both"/>
              <w:rPr>
                <w:rFonts w:ascii="Arial" w:hAnsi="Arial" w:cs="Arial"/>
                <w:szCs w:val="22"/>
              </w:rPr>
            </w:pPr>
            <w:r>
              <w:rPr>
                <w:rFonts w:ascii="Arial" w:hAnsi="Arial" w:cs="Arial"/>
                <w:szCs w:val="22"/>
              </w:rPr>
              <w:t>+266%</w:t>
            </w:r>
          </w:p>
        </w:tc>
      </w:tr>
      <w:tr w:rsidR="009815E6" w14:paraId="3904971B" w14:textId="77777777" w:rsidTr="009815E6">
        <w:tc>
          <w:tcPr>
            <w:tcW w:w="2091" w:type="dxa"/>
          </w:tcPr>
          <w:p w14:paraId="2CB3D7BF" w14:textId="5621F43B" w:rsidR="009815E6" w:rsidRDefault="009815E6" w:rsidP="009815E6">
            <w:pPr>
              <w:pStyle w:val="PlainText"/>
              <w:contextualSpacing/>
              <w:jc w:val="both"/>
              <w:rPr>
                <w:rFonts w:ascii="Arial" w:hAnsi="Arial" w:cs="Arial"/>
                <w:szCs w:val="22"/>
              </w:rPr>
            </w:pPr>
            <w:r>
              <w:rPr>
                <w:rFonts w:ascii="Arial" w:hAnsi="Arial" w:cs="Arial"/>
                <w:szCs w:val="22"/>
              </w:rPr>
              <w:t>Engineering</w:t>
            </w:r>
          </w:p>
        </w:tc>
        <w:tc>
          <w:tcPr>
            <w:tcW w:w="2091" w:type="dxa"/>
          </w:tcPr>
          <w:p w14:paraId="0A68870B" w14:textId="30DCC6F3" w:rsidR="009815E6" w:rsidRDefault="00BD1F85" w:rsidP="009815E6">
            <w:pPr>
              <w:pStyle w:val="PlainText"/>
              <w:contextualSpacing/>
              <w:jc w:val="both"/>
              <w:rPr>
                <w:rFonts w:ascii="Arial" w:hAnsi="Arial" w:cs="Arial"/>
                <w:szCs w:val="22"/>
              </w:rPr>
            </w:pPr>
            <w:r>
              <w:rPr>
                <w:rFonts w:ascii="Arial" w:hAnsi="Arial" w:cs="Arial"/>
                <w:szCs w:val="22"/>
              </w:rPr>
              <w:t>7</w:t>
            </w:r>
          </w:p>
        </w:tc>
        <w:tc>
          <w:tcPr>
            <w:tcW w:w="2091" w:type="dxa"/>
          </w:tcPr>
          <w:p w14:paraId="67115D80" w14:textId="20C93471" w:rsidR="009815E6" w:rsidRDefault="00BD1F85" w:rsidP="009815E6">
            <w:pPr>
              <w:pStyle w:val="PlainText"/>
              <w:contextualSpacing/>
              <w:jc w:val="both"/>
              <w:rPr>
                <w:rFonts w:ascii="Arial" w:hAnsi="Arial" w:cs="Arial"/>
                <w:szCs w:val="22"/>
              </w:rPr>
            </w:pPr>
            <w:r>
              <w:rPr>
                <w:rFonts w:ascii="Arial" w:hAnsi="Arial" w:cs="Arial"/>
                <w:szCs w:val="22"/>
              </w:rPr>
              <w:t>7</w:t>
            </w:r>
          </w:p>
        </w:tc>
        <w:tc>
          <w:tcPr>
            <w:tcW w:w="2091" w:type="dxa"/>
          </w:tcPr>
          <w:p w14:paraId="203CF3A9" w14:textId="61ED968F" w:rsidR="009815E6" w:rsidRDefault="00BD1F85" w:rsidP="009815E6">
            <w:pPr>
              <w:pStyle w:val="PlainText"/>
              <w:contextualSpacing/>
              <w:jc w:val="both"/>
              <w:rPr>
                <w:rFonts w:ascii="Arial" w:hAnsi="Arial" w:cs="Arial"/>
                <w:szCs w:val="22"/>
              </w:rPr>
            </w:pPr>
            <w:r>
              <w:rPr>
                <w:rFonts w:ascii="Arial" w:hAnsi="Arial" w:cs="Arial"/>
                <w:szCs w:val="22"/>
              </w:rPr>
              <w:t>0</w:t>
            </w:r>
          </w:p>
        </w:tc>
        <w:tc>
          <w:tcPr>
            <w:tcW w:w="2092" w:type="dxa"/>
          </w:tcPr>
          <w:p w14:paraId="5D5C4D0B" w14:textId="72B5DF09" w:rsidR="009815E6" w:rsidRDefault="00BD1F85" w:rsidP="009815E6">
            <w:pPr>
              <w:pStyle w:val="PlainText"/>
              <w:contextualSpacing/>
              <w:jc w:val="both"/>
              <w:rPr>
                <w:rFonts w:ascii="Arial" w:hAnsi="Arial" w:cs="Arial"/>
                <w:szCs w:val="22"/>
              </w:rPr>
            </w:pPr>
            <w:r>
              <w:rPr>
                <w:rFonts w:ascii="Arial" w:hAnsi="Arial" w:cs="Arial"/>
                <w:szCs w:val="22"/>
              </w:rPr>
              <w:t>0</w:t>
            </w:r>
          </w:p>
        </w:tc>
      </w:tr>
      <w:tr w:rsidR="009815E6" w14:paraId="202D5E8E" w14:textId="77777777" w:rsidTr="009815E6">
        <w:tc>
          <w:tcPr>
            <w:tcW w:w="2091" w:type="dxa"/>
          </w:tcPr>
          <w:p w14:paraId="0025C72C" w14:textId="63C20D76" w:rsidR="009815E6" w:rsidRDefault="009815E6" w:rsidP="009815E6">
            <w:pPr>
              <w:pStyle w:val="PlainText"/>
              <w:contextualSpacing/>
              <w:jc w:val="both"/>
              <w:rPr>
                <w:rFonts w:ascii="Arial" w:hAnsi="Arial" w:cs="Arial"/>
                <w:szCs w:val="22"/>
              </w:rPr>
            </w:pPr>
            <w:r>
              <w:rPr>
                <w:rFonts w:ascii="Arial" w:hAnsi="Arial" w:cs="Arial"/>
                <w:szCs w:val="22"/>
              </w:rPr>
              <w:t>Business</w:t>
            </w:r>
          </w:p>
        </w:tc>
        <w:tc>
          <w:tcPr>
            <w:tcW w:w="2091" w:type="dxa"/>
          </w:tcPr>
          <w:p w14:paraId="445686BA" w14:textId="463A5C79" w:rsidR="009815E6" w:rsidRDefault="00BD1F85" w:rsidP="009815E6">
            <w:pPr>
              <w:pStyle w:val="PlainText"/>
              <w:contextualSpacing/>
              <w:jc w:val="both"/>
              <w:rPr>
                <w:rFonts w:ascii="Arial" w:hAnsi="Arial" w:cs="Arial"/>
                <w:szCs w:val="22"/>
              </w:rPr>
            </w:pPr>
            <w:r>
              <w:rPr>
                <w:rFonts w:ascii="Arial" w:hAnsi="Arial" w:cs="Arial"/>
                <w:szCs w:val="22"/>
              </w:rPr>
              <w:t>6</w:t>
            </w:r>
          </w:p>
        </w:tc>
        <w:tc>
          <w:tcPr>
            <w:tcW w:w="2091" w:type="dxa"/>
          </w:tcPr>
          <w:p w14:paraId="467B59B3" w14:textId="47FA5FB4" w:rsidR="009815E6" w:rsidRDefault="00BD1F85" w:rsidP="009815E6">
            <w:pPr>
              <w:pStyle w:val="PlainText"/>
              <w:contextualSpacing/>
              <w:jc w:val="both"/>
              <w:rPr>
                <w:rFonts w:ascii="Arial" w:hAnsi="Arial" w:cs="Arial"/>
                <w:szCs w:val="22"/>
              </w:rPr>
            </w:pPr>
            <w:r>
              <w:rPr>
                <w:rFonts w:ascii="Arial" w:hAnsi="Arial" w:cs="Arial"/>
                <w:szCs w:val="22"/>
              </w:rPr>
              <w:t>1</w:t>
            </w:r>
          </w:p>
        </w:tc>
        <w:tc>
          <w:tcPr>
            <w:tcW w:w="2091" w:type="dxa"/>
          </w:tcPr>
          <w:p w14:paraId="052CFEE0" w14:textId="1F90FBDB" w:rsidR="009815E6" w:rsidRDefault="00BD1F85" w:rsidP="009815E6">
            <w:pPr>
              <w:pStyle w:val="PlainText"/>
              <w:contextualSpacing/>
              <w:jc w:val="both"/>
              <w:rPr>
                <w:rFonts w:ascii="Arial" w:hAnsi="Arial" w:cs="Arial"/>
                <w:szCs w:val="22"/>
              </w:rPr>
            </w:pPr>
            <w:r>
              <w:rPr>
                <w:rFonts w:ascii="Arial" w:hAnsi="Arial" w:cs="Arial"/>
                <w:szCs w:val="22"/>
              </w:rPr>
              <w:t>+5</w:t>
            </w:r>
          </w:p>
        </w:tc>
        <w:tc>
          <w:tcPr>
            <w:tcW w:w="2092" w:type="dxa"/>
          </w:tcPr>
          <w:p w14:paraId="2A3A787F" w14:textId="3B242AB1" w:rsidR="009815E6" w:rsidRDefault="00BD1F85" w:rsidP="009815E6">
            <w:pPr>
              <w:pStyle w:val="PlainText"/>
              <w:contextualSpacing/>
              <w:jc w:val="both"/>
              <w:rPr>
                <w:rFonts w:ascii="Arial" w:hAnsi="Arial" w:cs="Arial"/>
                <w:szCs w:val="22"/>
              </w:rPr>
            </w:pPr>
            <w:r>
              <w:rPr>
                <w:rFonts w:ascii="Arial" w:hAnsi="Arial" w:cs="Arial"/>
                <w:szCs w:val="22"/>
              </w:rPr>
              <w:t>+500</w:t>
            </w:r>
          </w:p>
        </w:tc>
      </w:tr>
      <w:tr w:rsidR="009815E6" w14:paraId="62965920" w14:textId="77777777" w:rsidTr="009815E6">
        <w:tc>
          <w:tcPr>
            <w:tcW w:w="2091" w:type="dxa"/>
          </w:tcPr>
          <w:p w14:paraId="07912CD4" w14:textId="36A04F0B" w:rsidR="009815E6" w:rsidRDefault="009815E6" w:rsidP="009815E6">
            <w:pPr>
              <w:pStyle w:val="PlainText"/>
              <w:contextualSpacing/>
              <w:jc w:val="both"/>
              <w:rPr>
                <w:rFonts w:ascii="Arial" w:hAnsi="Arial" w:cs="Arial"/>
                <w:szCs w:val="22"/>
              </w:rPr>
            </w:pPr>
            <w:r>
              <w:rPr>
                <w:rFonts w:ascii="Arial" w:hAnsi="Arial" w:cs="Arial"/>
                <w:szCs w:val="22"/>
              </w:rPr>
              <w:t>Science</w:t>
            </w:r>
          </w:p>
        </w:tc>
        <w:tc>
          <w:tcPr>
            <w:tcW w:w="2091" w:type="dxa"/>
          </w:tcPr>
          <w:p w14:paraId="6771802E" w14:textId="4964A1C5" w:rsidR="009815E6" w:rsidRDefault="00BD1F85" w:rsidP="009815E6">
            <w:pPr>
              <w:pStyle w:val="PlainText"/>
              <w:contextualSpacing/>
              <w:jc w:val="both"/>
              <w:rPr>
                <w:rFonts w:ascii="Arial" w:hAnsi="Arial" w:cs="Arial"/>
                <w:szCs w:val="22"/>
              </w:rPr>
            </w:pPr>
            <w:r>
              <w:rPr>
                <w:rFonts w:ascii="Arial" w:hAnsi="Arial" w:cs="Arial"/>
                <w:szCs w:val="22"/>
              </w:rPr>
              <w:t>2</w:t>
            </w:r>
          </w:p>
        </w:tc>
        <w:tc>
          <w:tcPr>
            <w:tcW w:w="2091" w:type="dxa"/>
          </w:tcPr>
          <w:p w14:paraId="084F4346" w14:textId="4B8629F5" w:rsidR="009815E6" w:rsidRDefault="00BD1F85" w:rsidP="009815E6">
            <w:pPr>
              <w:pStyle w:val="PlainText"/>
              <w:contextualSpacing/>
              <w:jc w:val="both"/>
              <w:rPr>
                <w:rFonts w:ascii="Arial" w:hAnsi="Arial" w:cs="Arial"/>
                <w:szCs w:val="22"/>
              </w:rPr>
            </w:pPr>
            <w:r>
              <w:rPr>
                <w:rFonts w:ascii="Arial" w:hAnsi="Arial" w:cs="Arial"/>
                <w:szCs w:val="22"/>
              </w:rPr>
              <w:t>4</w:t>
            </w:r>
          </w:p>
        </w:tc>
        <w:tc>
          <w:tcPr>
            <w:tcW w:w="2091" w:type="dxa"/>
          </w:tcPr>
          <w:p w14:paraId="63D490BF" w14:textId="4552465A" w:rsidR="009815E6" w:rsidRDefault="00BD1F85" w:rsidP="009815E6">
            <w:pPr>
              <w:pStyle w:val="PlainText"/>
              <w:contextualSpacing/>
              <w:jc w:val="both"/>
              <w:rPr>
                <w:rFonts w:ascii="Arial" w:hAnsi="Arial" w:cs="Arial"/>
                <w:szCs w:val="22"/>
              </w:rPr>
            </w:pPr>
            <w:r>
              <w:rPr>
                <w:rFonts w:ascii="Arial" w:hAnsi="Arial" w:cs="Arial"/>
                <w:szCs w:val="22"/>
              </w:rPr>
              <w:t>-2</w:t>
            </w:r>
          </w:p>
        </w:tc>
        <w:tc>
          <w:tcPr>
            <w:tcW w:w="2092" w:type="dxa"/>
          </w:tcPr>
          <w:p w14:paraId="6CC1D1B1" w14:textId="72FFECA6" w:rsidR="009815E6" w:rsidRDefault="00BD1F85" w:rsidP="009815E6">
            <w:pPr>
              <w:pStyle w:val="PlainText"/>
              <w:contextualSpacing/>
              <w:jc w:val="both"/>
              <w:rPr>
                <w:rFonts w:ascii="Arial" w:hAnsi="Arial" w:cs="Arial"/>
                <w:szCs w:val="22"/>
              </w:rPr>
            </w:pPr>
            <w:r>
              <w:rPr>
                <w:rFonts w:ascii="Arial" w:hAnsi="Arial" w:cs="Arial"/>
                <w:szCs w:val="22"/>
              </w:rPr>
              <w:t>-50%</w:t>
            </w:r>
          </w:p>
        </w:tc>
      </w:tr>
      <w:tr w:rsidR="006361BD" w14:paraId="0CB03ABA" w14:textId="77777777" w:rsidTr="009815E6">
        <w:tc>
          <w:tcPr>
            <w:tcW w:w="2091" w:type="dxa"/>
          </w:tcPr>
          <w:p w14:paraId="1853146B" w14:textId="76269984" w:rsidR="006361BD" w:rsidRDefault="006361BD" w:rsidP="009815E6">
            <w:pPr>
              <w:pStyle w:val="PlainText"/>
              <w:contextualSpacing/>
              <w:jc w:val="both"/>
              <w:rPr>
                <w:rFonts w:ascii="Arial" w:hAnsi="Arial" w:cs="Arial"/>
                <w:szCs w:val="22"/>
              </w:rPr>
            </w:pPr>
            <w:r>
              <w:rPr>
                <w:rFonts w:ascii="Arial" w:hAnsi="Arial" w:cs="Arial"/>
                <w:szCs w:val="22"/>
              </w:rPr>
              <w:t>Total</w:t>
            </w:r>
          </w:p>
        </w:tc>
        <w:tc>
          <w:tcPr>
            <w:tcW w:w="2091" w:type="dxa"/>
          </w:tcPr>
          <w:p w14:paraId="464314BA" w14:textId="3F7EA74F" w:rsidR="006361BD" w:rsidRDefault="00BD1F85" w:rsidP="009815E6">
            <w:pPr>
              <w:pStyle w:val="PlainText"/>
              <w:contextualSpacing/>
              <w:jc w:val="both"/>
              <w:rPr>
                <w:rFonts w:ascii="Arial" w:hAnsi="Arial" w:cs="Arial"/>
                <w:szCs w:val="22"/>
              </w:rPr>
            </w:pPr>
            <w:r>
              <w:rPr>
                <w:rFonts w:ascii="Arial" w:hAnsi="Arial" w:cs="Arial"/>
                <w:szCs w:val="22"/>
              </w:rPr>
              <w:t>26</w:t>
            </w:r>
          </w:p>
        </w:tc>
        <w:tc>
          <w:tcPr>
            <w:tcW w:w="2091" w:type="dxa"/>
          </w:tcPr>
          <w:p w14:paraId="167F04D5" w14:textId="0EED801D" w:rsidR="006361BD" w:rsidRDefault="00BD1F85" w:rsidP="009815E6">
            <w:pPr>
              <w:pStyle w:val="PlainText"/>
              <w:contextualSpacing/>
              <w:jc w:val="both"/>
              <w:rPr>
                <w:rFonts w:ascii="Arial" w:hAnsi="Arial" w:cs="Arial"/>
                <w:szCs w:val="22"/>
              </w:rPr>
            </w:pPr>
            <w:r>
              <w:rPr>
                <w:rFonts w:ascii="Arial" w:hAnsi="Arial" w:cs="Arial"/>
                <w:szCs w:val="22"/>
              </w:rPr>
              <w:t>15</w:t>
            </w:r>
          </w:p>
        </w:tc>
        <w:tc>
          <w:tcPr>
            <w:tcW w:w="2091" w:type="dxa"/>
          </w:tcPr>
          <w:p w14:paraId="21E90A04" w14:textId="3D4191AA" w:rsidR="006361BD" w:rsidRDefault="00BD1F85" w:rsidP="009815E6">
            <w:pPr>
              <w:pStyle w:val="PlainText"/>
              <w:contextualSpacing/>
              <w:jc w:val="both"/>
              <w:rPr>
                <w:rFonts w:ascii="Arial" w:hAnsi="Arial" w:cs="Arial"/>
                <w:szCs w:val="22"/>
              </w:rPr>
            </w:pPr>
            <w:r>
              <w:rPr>
                <w:rFonts w:ascii="Arial" w:hAnsi="Arial" w:cs="Arial"/>
                <w:szCs w:val="22"/>
              </w:rPr>
              <w:t>+11</w:t>
            </w:r>
          </w:p>
        </w:tc>
        <w:tc>
          <w:tcPr>
            <w:tcW w:w="2092" w:type="dxa"/>
          </w:tcPr>
          <w:p w14:paraId="0431FC7F" w14:textId="1E471A0A" w:rsidR="006361BD" w:rsidRDefault="00BD1F85" w:rsidP="009815E6">
            <w:pPr>
              <w:pStyle w:val="PlainText"/>
              <w:contextualSpacing/>
              <w:jc w:val="both"/>
              <w:rPr>
                <w:rFonts w:ascii="Arial" w:hAnsi="Arial" w:cs="Arial"/>
                <w:szCs w:val="22"/>
              </w:rPr>
            </w:pPr>
            <w:r>
              <w:rPr>
                <w:rFonts w:ascii="Arial" w:hAnsi="Arial" w:cs="Arial"/>
                <w:szCs w:val="22"/>
              </w:rPr>
              <w:t>+73%</w:t>
            </w:r>
          </w:p>
        </w:tc>
      </w:tr>
    </w:tbl>
    <w:p w14:paraId="7B3E73DA" w14:textId="77777777" w:rsidR="009815E6" w:rsidRDefault="009815E6" w:rsidP="009815E6">
      <w:pPr>
        <w:pStyle w:val="PlainText"/>
        <w:contextualSpacing/>
        <w:jc w:val="both"/>
        <w:rPr>
          <w:rFonts w:ascii="Arial" w:hAnsi="Arial" w:cs="Arial"/>
          <w:szCs w:val="22"/>
        </w:rPr>
      </w:pPr>
    </w:p>
    <w:p w14:paraId="1E4907F6" w14:textId="77777777" w:rsidR="005723BD" w:rsidRDefault="005723BD" w:rsidP="005723BD">
      <w:pPr>
        <w:pStyle w:val="ListParagraph"/>
        <w:rPr>
          <w:rFonts w:ascii="Arial" w:hAnsi="Arial" w:cs="Arial"/>
        </w:rPr>
      </w:pPr>
    </w:p>
    <w:p w14:paraId="3D8123D9" w14:textId="7C79A9C4" w:rsidR="005723BD" w:rsidRDefault="00BD1F85" w:rsidP="005D522B">
      <w:pPr>
        <w:pStyle w:val="PlainText"/>
        <w:numPr>
          <w:ilvl w:val="0"/>
          <w:numId w:val="33"/>
        </w:numPr>
        <w:contextualSpacing/>
        <w:jc w:val="both"/>
        <w:rPr>
          <w:rFonts w:ascii="Arial" w:hAnsi="Arial" w:cs="Arial"/>
          <w:szCs w:val="22"/>
        </w:rPr>
      </w:pPr>
      <w:r>
        <w:rPr>
          <w:rFonts w:ascii="Arial" w:hAnsi="Arial" w:cs="Arial"/>
          <w:szCs w:val="22"/>
        </w:rPr>
        <w:t>Both HAAS and the Business School have seen increased complaints in comparison to the same stage last year</w:t>
      </w:r>
      <w:r w:rsidR="00943B24">
        <w:rPr>
          <w:rFonts w:ascii="Arial" w:hAnsi="Arial" w:cs="Arial"/>
          <w:szCs w:val="22"/>
        </w:rPr>
        <w:t xml:space="preserve"> although as an overall figure in comparison to the number of students they remain very small</w:t>
      </w:r>
      <w:r>
        <w:rPr>
          <w:rFonts w:ascii="Arial" w:hAnsi="Arial" w:cs="Arial"/>
          <w:szCs w:val="22"/>
        </w:rPr>
        <w:t xml:space="preserve">. </w:t>
      </w:r>
      <w:r w:rsidR="00DE4A69">
        <w:rPr>
          <w:rFonts w:ascii="Arial" w:hAnsi="Arial" w:cs="Arial"/>
          <w:szCs w:val="22"/>
        </w:rPr>
        <w:t>HAAS accounted for six of the quarters Staff Conduct complaints and the Business School saw an increase in complaints around Service Provision.</w:t>
      </w:r>
    </w:p>
    <w:p w14:paraId="4A0FF20B" w14:textId="77777777" w:rsidR="00EE5E71" w:rsidRDefault="00EE5E71" w:rsidP="00EE5E71">
      <w:pPr>
        <w:pStyle w:val="ListParagraph"/>
        <w:rPr>
          <w:rFonts w:ascii="Arial" w:hAnsi="Arial" w:cs="Arial"/>
        </w:rPr>
      </w:pPr>
    </w:p>
    <w:p w14:paraId="529C1CF6" w14:textId="45B0C995" w:rsidR="00EE5E71" w:rsidRPr="00936CF3" w:rsidRDefault="0099160B" w:rsidP="005D522B">
      <w:pPr>
        <w:pStyle w:val="PlainText"/>
        <w:numPr>
          <w:ilvl w:val="0"/>
          <w:numId w:val="33"/>
        </w:numPr>
        <w:contextualSpacing/>
        <w:jc w:val="both"/>
        <w:rPr>
          <w:rFonts w:ascii="Arial" w:hAnsi="Arial" w:cs="Arial"/>
          <w:szCs w:val="22"/>
        </w:rPr>
      </w:pPr>
      <w:r w:rsidRPr="00936CF3">
        <w:rPr>
          <w:rFonts w:ascii="Arial" w:hAnsi="Arial" w:cs="Arial"/>
          <w:szCs w:val="22"/>
        </w:rPr>
        <w:t xml:space="preserve">Frontline complaints may be classified as ‘upheld’, ‘not upheld’ or ‘resolved’. </w:t>
      </w:r>
      <w:r w:rsidR="00DE4A69">
        <w:rPr>
          <w:rFonts w:ascii="Arial" w:hAnsi="Arial" w:cs="Arial"/>
          <w:szCs w:val="22"/>
        </w:rPr>
        <w:t>The University continues to focus on front</w:t>
      </w:r>
      <w:r w:rsidR="00256107">
        <w:rPr>
          <w:rFonts w:ascii="Arial" w:hAnsi="Arial" w:cs="Arial"/>
          <w:szCs w:val="22"/>
        </w:rPr>
        <w:t>line</w:t>
      </w:r>
      <w:r w:rsidR="00DE4A69">
        <w:rPr>
          <w:rFonts w:ascii="Arial" w:hAnsi="Arial" w:cs="Arial"/>
          <w:szCs w:val="22"/>
        </w:rPr>
        <w:t xml:space="preserve"> resolution and 40% of frontline complaints were resolve</w:t>
      </w:r>
      <w:r w:rsidR="00943B24">
        <w:rPr>
          <w:rFonts w:ascii="Arial" w:hAnsi="Arial" w:cs="Arial"/>
          <w:szCs w:val="22"/>
        </w:rPr>
        <w:t>d and t</w:t>
      </w:r>
      <w:r w:rsidR="00DE4A69">
        <w:rPr>
          <w:rFonts w:ascii="Arial" w:hAnsi="Arial" w:cs="Arial"/>
          <w:szCs w:val="22"/>
        </w:rPr>
        <w:t>hat will continue to be a focus for this year. Only 8 % of complaints were upheld and another 8% were not upheld.</w:t>
      </w:r>
      <w:r w:rsidR="00EE5E71" w:rsidRPr="00936CF3">
        <w:rPr>
          <w:rFonts w:ascii="Arial" w:hAnsi="Arial" w:cs="Arial"/>
          <w:szCs w:val="22"/>
        </w:rPr>
        <w:t xml:space="preserve"> </w:t>
      </w:r>
    </w:p>
    <w:p w14:paraId="0C9863F7" w14:textId="77777777" w:rsidR="00D21E92" w:rsidRDefault="00D21E92" w:rsidP="00D21E92">
      <w:pPr>
        <w:pStyle w:val="ListParagraph"/>
        <w:rPr>
          <w:rFonts w:ascii="Arial" w:hAnsi="Arial" w:cs="Arial"/>
        </w:rPr>
      </w:pPr>
    </w:p>
    <w:p w14:paraId="587C8FFA" w14:textId="2D2FC2FF" w:rsidR="00B75382" w:rsidRDefault="00DF3525" w:rsidP="00A6323D">
      <w:pPr>
        <w:pStyle w:val="PlainText"/>
        <w:numPr>
          <w:ilvl w:val="0"/>
          <w:numId w:val="33"/>
        </w:numPr>
        <w:contextualSpacing/>
        <w:sectPr w:rsidR="00B75382" w:rsidSect="00CA1E81">
          <w:headerReference w:type="first" r:id="rId11"/>
          <w:footerReference w:type="first" r:id="rId12"/>
          <w:pgSz w:w="11906" w:h="16838"/>
          <w:pgMar w:top="720" w:right="720" w:bottom="720" w:left="720" w:header="708" w:footer="708" w:gutter="0"/>
          <w:cols w:space="708"/>
          <w:titlePg/>
          <w:docGrid w:linePitch="360"/>
        </w:sectPr>
      </w:pPr>
      <w:r w:rsidRPr="009F018A">
        <w:rPr>
          <w:rFonts w:ascii="Arial" w:hAnsi="Arial" w:cs="Arial"/>
          <w:szCs w:val="22"/>
        </w:rPr>
        <w:t xml:space="preserve">At the end of the quarter </w:t>
      </w:r>
      <w:r w:rsidR="00DE4A69">
        <w:rPr>
          <w:rFonts w:ascii="Arial" w:hAnsi="Arial" w:cs="Arial"/>
          <w:szCs w:val="22"/>
        </w:rPr>
        <w:t>six</w:t>
      </w:r>
      <w:r w:rsidR="00273B5F" w:rsidRPr="009F018A">
        <w:rPr>
          <w:rFonts w:ascii="Arial" w:hAnsi="Arial" w:cs="Arial"/>
          <w:szCs w:val="22"/>
        </w:rPr>
        <w:t xml:space="preserve"> </w:t>
      </w:r>
      <w:r w:rsidR="001E738E" w:rsidRPr="009F018A">
        <w:rPr>
          <w:rFonts w:ascii="Arial" w:hAnsi="Arial" w:cs="Arial"/>
          <w:szCs w:val="22"/>
        </w:rPr>
        <w:t>investigation</w:t>
      </w:r>
      <w:r w:rsidR="0079664C" w:rsidRPr="009F018A">
        <w:rPr>
          <w:rFonts w:ascii="Arial" w:hAnsi="Arial" w:cs="Arial"/>
          <w:szCs w:val="22"/>
        </w:rPr>
        <w:t>s</w:t>
      </w:r>
      <w:r w:rsidR="00BD72DF" w:rsidRPr="009F018A">
        <w:rPr>
          <w:rFonts w:ascii="Arial" w:hAnsi="Arial" w:cs="Arial"/>
          <w:szCs w:val="22"/>
        </w:rPr>
        <w:t xml:space="preserve"> </w:t>
      </w:r>
      <w:r w:rsidR="0079664C" w:rsidRPr="009F018A">
        <w:rPr>
          <w:rFonts w:ascii="Arial" w:hAnsi="Arial" w:cs="Arial"/>
          <w:szCs w:val="22"/>
        </w:rPr>
        <w:t>were</w:t>
      </w:r>
      <w:r w:rsidR="00130DE1" w:rsidRPr="009F018A">
        <w:rPr>
          <w:rFonts w:ascii="Arial" w:hAnsi="Arial" w:cs="Arial"/>
          <w:szCs w:val="22"/>
        </w:rPr>
        <w:t xml:space="preserve"> </w:t>
      </w:r>
      <w:r w:rsidRPr="009F018A">
        <w:rPr>
          <w:rFonts w:ascii="Arial" w:hAnsi="Arial" w:cs="Arial"/>
          <w:szCs w:val="22"/>
        </w:rPr>
        <w:t>ongoing</w:t>
      </w:r>
      <w:r w:rsidR="00183197">
        <w:rPr>
          <w:rFonts w:ascii="Arial" w:hAnsi="Arial" w:cs="Arial"/>
          <w:szCs w:val="22"/>
        </w:rPr>
        <w:t>.</w:t>
      </w:r>
    </w:p>
    <w:p w14:paraId="2A3708D4" w14:textId="74230AF7" w:rsidR="004F6975" w:rsidRDefault="0009513C" w:rsidP="00653652">
      <w:pPr>
        <w:pStyle w:val="Header"/>
        <w:rPr>
          <w:rFonts w:ascii="Arial" w:hAnsi="Arial" w:cs="Arial"/>
          <w:b/>
        </w:rPr>
      </w:pPr>
      <w:r>
        <w:rPr>
          <w:rFonts w:ascii="Arial" w:hAnsi="Arial" w:cs="Arial"/>
          <w:b/>
          <w:noProof/>
        </w:rPr>
        <w:lastRenderedPageBreak/>
        <w:drawing>
          <wp:inline distT="0" distB="0" distL="0" distR="0" wp14:anchorId="788C6D47" wp14:editId="50ECD9CA">
            <wp:extent cx="4806950" cy="3054350"/>
            <wp:effectExtent l="0" t="0" r="0" b="0"/>
            <wp:docPr id="7" name="Picture 7"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with different colored bar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07364" cy="3054613"/>
                    </a:xfrm>
                    <a:prstGeom prst="rect">
                      <a:avLst/>
                    </a:prstGeom>
                  </pic:spPr>
                </pic:pic>
              </a:graphicData>
            </a:graphic>
          </wp:inline>
        </w:drawing>
      </w:r>
      <w:r w:rsidR="00BF566C">
        <w:rPr>
          <w:rFonts w:ascii="Arial" w:hAnsi="Arial" w:cs="Arial"/>
          <w:b/>
          <w:noProof/>
        </w:rPr>
        <w:drawing>
          <wp:inline distT="0" distB="0" distL="0" distR="0" wp14:anchorId="7F689AC4" wp14:editId="35B29AB3">
            <wp:extent cx="4781550" cy="3028950"/>
            <wp:effectExtent l="0" t="0" r="0" b="0"/>
            <wp:docPr id="11" name="Picture 1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with different colored bar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1866" cy="3029150"/>
                    </a:xfrm>
                    <a:prstGeom prst="rect">
                      <a:avLst/>
                    </a:prstGeom>
                  </pic:spPr>
                </pic:pic>
              </a:graphicData>
            </a:graphic>
          </wp:inline>
        </w:drawing>
      </w:r>
    </w:p>
    <w:p w14:paraId="5368259B" w14:textId="38F0C2FB" w:rsidR="004F6975" w:rsidRDefault="00947B39" w:rsidP="00653652">
      <w:pPr>
        <w:pStyle w:val="Header"/>
        <w:rPr>
          <w:rFonts w:ascii="Arial" w:hAnsi="Arial" w:cs="Arial"/>
          <w:b/>
        </w:rPr>
      </w:pPr>
      <w:r>
        <w:rPr>
          <w:rFonts w:ascii="Arial" w:hAnsi="Arial" w:cs="Arial"/>
          <w:b/>
          <w:noProof/>
        </w:rPr>
        <w:drawing>
          <wp:inline distT="0" distB="0" distL="0" distR="0" wp14:anchorId="10428D65" wp14:editId="25D29207">
            <wp:extent cx="4737100" cy="2838450"/>
            <wp:effectExtent l="0" t="0" r="0" b="0"/>
            <wp:docPr id="17" name="Picture 17" descr="A blue pie chart with a sha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pie chart with a shad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40707" cy="2840611"/>
                    </a:xfrm>
                    <a:prstGeom prst="rect">
                      <a:avLst/>
                    </a:prstGeom>
                  </pic:spPr>
                </pic:pic>
              </a:graphicData>
            </a:graphic>
          </wp:inline>
        </w:drawing>
      </w:r>
      <w:r>
        <w:rPr>
          <w:rFonts w:ascii="Arial" w:hAnsi="Arial" w:cs="Arial"/>
          <w:b/>
          <w:noProof/>
        </w:rPr>
        <w:drawing>
          <wp:inline distT="0" distB="0" distL="0" distR="0" wp14:anchorId="0774E2F1" wp14:editId="0F0C9247">
            <wp:extent cx="4864100" cy="3067050"/>
            <wp:effectExtent l="0" t="0" r="0" b="0"/>
            <wp:docPr id="18" name="Picture 18"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e chart with text on i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07707" cy="3094546"/>
                    </a:xfrm>
                    <a:prstGeom prst="rect">
                      <a:avLst/>
                    </a:prstGeom>
                  </pic:spPr>
                </pic:pic>
              </a:graphicData>
            </a:graphic>
          </wp:inline>
        </w:drawing>
      </w:r>
    </w:p>
    <w:p w14:paraId="1F64C6B2" w14:textId="65E7A3DE" w:rsidR="007A630C" w:rsidRPr="002614CA" w:rsidRDefault="007A630C" w:rsidP="007A630C">
      <w:pPr>
        <w:rPr>
          <w:sz w:val="24"/>
          <w:szCs w:val="24"/>
        </w:rPr>
      </w:pPr>
      <w:r>
        <w:rPr>
          <w:rFonts w:ascii="Arial" w:hAnsi="Arial" w:cs="Arial"/>
          <w:b/>
        </w:rPr>
        <w:lastRenderedPageBreak/>
        <w:t xml:space="preserve">                                                                                                                                                                                                                                       </w:t>
      </w:r>
    </w:p>
    <w:p w14:paraId="7D9C5575" w14:textId="26612B99" w:rsidR="005723BD" w:rsidRDefault="005723BD" w:rsidP="00653652">
      <w:pPr>
        <w:pStyle w:val="Header"/>
        <w:rPr>
          <w:rFonts w:ascii="Arial" w:hAnsi="Arial" w:cs="Arial"/>
          <w:b/>
        </w:rPr>
      </w:pPr>
    </w:p>
    <w:p w14:paraId="1E767DF3" w14:textId="25AE6BCE" w:rsidR="004D1ADA" w:rsidRDefault="00E66889" w:rsidP="00E66889">
      <w:pPr>
        <w:spacing w:after="160" w:line="259" w:lineRule="auto"/>
        <w:ind w:left="14400"/>
        <w:rPr>
          <w:rFonts w:ascii="Arial" w:hAnsi="Arial" w:cs="Arial"/>
          <w:b/>
        </w:rPr>
      </w:pPr>
      <w:r>
        <w:rPr>
          <w:rFonts w:ascii="Arial" w:hAnsi="Arial" w:cs="Arial"/>
          <w:b/>
        </w:rPr>
        <w:t>ANNEX B</w:t>
      </w:r>
    </w:p>
    <w:p w14:paraId="2F6A7882" w14:textId="212C6FA9" w:rsidR="00B81C23" w:rsidRDefault="00CF2C83" w:rsidP="00B81C23">
      <w:pPr>
        <w:spacing w:after="160" w:line="259" w:lineRule="auto"/>
        <w:rPr>
          <w:rFonts w:ascii="Arial" w:hAnsi="Arial" w:cs="Arial"/>
          <w:b/>
        </w:rPr>
      </w:pPr>
      <w:r>
        <w:rPr>
          <w:rFonts w:ascii="Arial" w:hAnsi="Arial" w:cs="Arial"/>
          <w:b/>
          <w:noProof/>
        </w:rPr>
        <w:drawing>
          <wp:inline distT="0" distB="0" distL="0" distR="0" wp14:anchorId="61201F9E" wp14:editId="73CD20CA">
            <wp:extent cx="4686300" cy="3313430"/>
            <wp:effectExtent l="0" t="0" r="0" b="1270"/>
            <wp:docPr id="19" name="Picture 19" descr="A graph of a number of compla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aph of a number of complaint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87163" cy="3314040"/>
                    </a:xfrm>
                    <a:prstGeom prst="rect">
                      <a:avLst/>
                    </a:prstGeom>
                  </pic:spPr>
                </pic:pic>
              </a:graphicData>
            </a:graphic>
          </wp:inline>
        </w:drawing>
      </w:r>
      <w:r>
        <w:rPr>
          <w:rFonts w:ascii="Arial" w:hAnsi="Arial" w:cs="Arial"/>
          <w:b/>
          <w:noProof/>
        </w:rPr>
        <w:drawing>
          <wp:inline distT="0" distB="0" distL="0" distR="0" wp14:anchorId="40C46748" wp14:editId="33F28FE4">
            <wp:extent cx="5041900" cy="3295650"/>
            <wp:effectExtent l="0" t="0" r="6350" b="0"/>
            <wp:docPr id="20" name="Picture 20" descr="A graph of a number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aph of a number of different colored bar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41900" cy="3295650"/>
                    </a:xfrm>
                    <a:prstGeom prst="rect">
                      <a:avLst/>
                    </a:prstGeom>
                  </pic:spPr>
                </pic:pic>
              </a:graphicData>
            </a:graphic>
          </wp:inline>
        </w:drawing>
      </w:r>
    </w:p>
    <w:p w14:paraId="786004BD" w14:textId="77777777" w:rsidR="00B81C23" w:rsidRDefault="00B81C23" w:rsidP="00B81C23">
      <w:pPr>
        <w:spacing w:after="160" w:line="259" w:lineRule="auto"/>
        <w:rPr>
          <w:rFonts w:ascii="Arial" w:hAnsi="Arial" w:cs="Arial"/>
          <w:b/>
        </w:rPr>
      </w:pPr>
    </w:p>
    <w:p w14:paraId="2781561A" w14:textId="02F7F6E2" w:rsidR="005723BD" w:rsidRDefault="00CF2C83" w:rsidP="00B81C23">
      <w:pPr>
        <w:spacing w:after="160" w:line="259" w:lineRule="auto"/>
        <w:jc w:val="center"/>
        <w:rPr>
          <w:rFonts w:ascii="Arial" w:hAnsi="Arial" w:cs="Arial"/>
          <w:b/>
        </w:rPr>
      </w:pPr>
      <w:r>
        <w:rPr>
          <w:rFonts w:ascii="Arial" w:hAnsi="Arial" w:cs="Arial"/>
          <w:b/>
          <w:noProof/>
        </w:rPr>
        <w:drawing>
          <wp:inline distT="0" distB="0" distL="0" distR="0" wp14:anchorId="7DC6FDA9" wp14:editId="3D3757A8">
            <wp:extent cx="7861300" cy="2114550"/>
            <wp:effectExtent l="0" t="0" r="6350" b="0"/>
            <wp:docPr id="21" name="Picture 21" descr="A graph of a number of y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aph of a number of years&#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67387" cy="2116187"/>
                    </a:xfrm>
                    <a:prstGeom prst="rect">
                      <a:avLst/>
                    </a:prstGeom>
                  </pic:spPr>
                </pic:pic>
              </a:graphicData>
            </a:graphic>
          </wp:inline>
        </w:drawing>
      </w:r>
      <w:r w:rsidR="005723BD">
        <w:rPr>
          <w:rFonts w:ascii="Arial" w:hAnsi="Arial" w:cs="Arial"/>
          <w:b/>
        </w:rPr>
        <w:br w:type="page"/>
      </w:r>
    </w:p>
    <w:p w14:paraId="3DD845E4" w14:textId="77777777" w:rsidR="00FA7870" w:rsidRDefault="00FA7870" w:rsidP="00653652">
      <w:pPr>
        <w:pStyle w:val="Header"/>
        <w:rPr>
          <w:rFonts w:ascii="Arial" w:hAnsi="Arial" w:cs="Arial"/>
          <w:b/>
        </w:rPr>
      </w:pPr>
    </w:p>
    <w:p w14:paraId="7A830C85" w14:textId="77777777" w:rsidR="005723BD" w:rsidRDefault="005723BD" w:rsidP="00653652">
      <w:pPr>
        <w:pStyle w:val="Header"/>
        <w:rPr>
          <w:rFonts w:ascii="Arial" w:hAnsi="Arial" w:cs="Arial"/>
          <w:b/>
          <w:szCs w:val="21"/>
        </w:rPr>
      </w:pPr>
    </w:p>
    <w:p w14:paraId="587C8FFF" w14:textId="0D229482" w:rsidR="002F2099" w:rsidRDefault="002614CA" w:rsidP="002614CA">
      <w:pPr>
        <w:pStyle w:val="PlainText"/>
        <w:spacing w:after="240"/>
        <w:contextualSpacing/>
        <w:jc w:val="center"/>
        <w:rPr>
          <w:rFonts w:ascii="Arial" w:hAnsi="Arial" w:cs="Arial"/>
          <w:b/>
          <w:u w:val="single"/>
        </w:rPr>
      </w:pPr>
      <w:r w:rsidRPr="002614CA">
        <w:rPr>
          <w:rFonts w:ascii="Arial" w:hAnsi="Arial" w:cs="Arial"/>
          <w:noProof/>
          <w:szCs w:val="22"/>
        </w:rPr>
        <mc:AlternateContent>
          <mc:Choice Requires="wps">
            <w:drawing>
              <wp:anchor distT="45720" distB="45720" distL="114300" distR="114300" simplePos="0" relativeHeight="251656704" behindDoc="0" locked="0" layoutInCell="1" allowOverlap="1" wp14:anchorId="39767CAF" wp14:editId="3937FC2E">
                <wp:simplePos x="0" y="0"/>
                <wp:positionH relativeFrom="column">
                  <wp:posOffset>8934450</wp:posOffset>
                </wp:positionH>
                <wp:positionV relativeFrom="paragraph">
                  <wp:posOffset>-360680</wp:posOffset>
                </wp:positionV>
                <wp:extent cx="895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40619DAD" w14:textId="2EB84EAD" w:rsidR="002614CA" w:rsidRPr="002614CA" w:rsidRDefault="002614CA">
                            <w:pPr>
                              <w:rPr>
                                <w:sz w:val="24"/>
                                <w:szCs w:val="24"/>
                              </w:rPr>
                            </w:pPr>
                            <w:r w:rsidRPr="002614CA">
                              <w:rPr>
                                <w:rFonts w:ascii="Arial" w:hAnsi="Arial" w:cs="Arial"/>
                                <w:b/>
                                <w:sz w:val="24"/>
                                <w:szCs w:val="24"/>
                              </w:rPr>
                              <w:t xml:space="preserve">ANNEX </w:t>
                            </w:r>
                            <w:r w:rsidR="005723BD">
                              <w:rPr>
                                <w:rFonts w:ascii="Arial" w:hAnsi="Arial" w:cs="Arial"/>
                                <w:b/>
                                <w:sz w:val="24"/>
                                <w:szCs w:val="24"/>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67CAF" id="Text Box 2" o:spid="_x0000_s1027" type="#_x0000_t202" style="position:absolute;left:0;text-align:left;margin-left:703.5pt;margin-top:-28.4pt;width:70.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9uDwIAAP0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" stroked="f">
                <v:textbox style="mso-fit-shape-to-text:t">
                  <w:txbxContent>
                    <w:p w14:paraId="40619DAD" w14:textId="2EB84EAD" w:rsidR="002614CA" w:rsidRPr="002614CA" w:rsidRDefault="002614CA">
                      <w:pPr>
                        <w:rPr>
                          <w:sz w:val="24"/>
                          <w:szCs w:val="24"/>
                        </w:rPr>
                      </w:pPr>
                      <w:r w:rsidRPr="002614CA">
                        <w:rPr>
                          <w:rFonts w:ascii="Arial" w:hAnsi="Arial" w:cs="Arial"/>
                          <w:b/>
                          <w:sz w:val="24"/>
                          <w:szCs w:val="24"/>
                        </w:rPr>
                        <w:t xml:space="preserve">ANNEX </w:t>
                      </w:r>
                      <w:r w:rsidR="005723BD">
                        <w:rPr>
                          <w:rFonts w:ascii="Arial" w:hAnsi="Arial" w:cs="Arial"/>
                          <w:b/>
                          <w:sz w:val="24"/>
                          <w:szCs w:val="24"/>
                        </w:rPr>
                        <w:t>C</w:t>
                      </w:r>
                    </w:p>
                  </w:txbxContent>
                </v:textbox>
                <w10:wrap type="square"/>
              </v:shape>
            </w:pict>
          </mc:Fallback>
        </mc:AlternateContent>
      </w:r>
      <w:r w:rsidR="002F2099" w:rsidRPr="00625ED2">
        <w:rPr>
          <w:rFonts w:ascii="Arial" w:hAnsi="Arial" w:cs="Arial"/>
          <w:b/>
          <w:u w:val="single"/>
        </w:rPr>
        <w:t>Learning from Complaints – Examples from</w:t>
      </w:r>
      <w:r w:rsidR="00437764">
        <w:rPr>
          <w:rFonts w:ascii="Arial" w:hAnsi="Arial" w:cs="Arial"/>
          <w:b/>
          <w:u w:val="single"/>
        </w:rPr>
        <w:t xml:space="preserve"> 1 February 2023 – 30 April 2023</w:t>
      </w:r>
    </w:p>
    <w:tbl>
      <w:tblPr>
        <w:tblStyle w:val="TableGrid"/>
        <w:tblW w:w="15587" w:type="dxa"/>
        <w:tblLayout w:type="fixed"/>
        <w:tblLook w:val="04A0" w:firstRow="1" w:lastRow="0" w:firstColumn="1" w:lastColumn="0" w:noHBand="0" w:noVBand="1"/>
      </w:tblPr>
      <w:tblGrid>
        <w:gridCol w:w="2122"/>
        <w:gridCol w:w="1559"/>
        <w:gridCol w:w="4252"/>
        <w:gridCol w:w="1418"/>
        <w:gridCol w:w="6236"/>
      </w:tblGrid>
      <w:tr w:rsidR="0017156B" w:rsidRPr="00D94A3D" w14:paraId="62F8715C" w14:textId="77777777" w:rsidTr="00B81C23">
        <w:trPr>
          <w:trHeight w:val="285"/>
        </w:trPr>
        <w:tc>
          <w:tcPr>
            <w:tcW w:w="2122" w:type="dxa"/>
            <w:hideMark/>
          </w:tcPr>
          <w:p w14:paraId="28115FC4" w14:textId="77777777" w:rsidR="0017156B" w:rsidRPr="00D94A3D" w:rsidRDefault="0017156B" w:rsidP="002C6879">
            <w:pPr>
              <w:rPr>
                <w:rFonts w:ascii="Arial" w:eastAsia="Times New Roman" w:hAnsi="Arial" w:cs="Arial"/>
                <w:b/>
                <w:bCs/>
                <w:lang w:eastAsia="en-GB"/>
              </w:rPr>
            </w:pPr>
            <w:r w:rsidRPr="00D94A3D">
              <w:rPr>
                <w:rFonts w:ascii="Arial" w:eastAsia="Times New Roman" w:hAnsi="Arial" w:cs="Arial"/>
                <w:b/>
                <w:bCs/>
                <w:lang w:eastAsia="en-GB"/>
              </w:rPr>
              <w:t>Complaint Category</w:t>
            </w:r>
          </w:p>
        </w:tc>
        <w:tc>
          <w:tcPr>
            <w:tcW w:w="1559" w:type="dxa"/>
            <w:hideMark/>
          </w:tcPr>
          <w:p w14:paraId="3D93B91F" w14:textId="231C2015" w:rsidR="0017156B" w:rsidRPr="00D94A3D" w:rsidRDefault="0017156B" w:rsidP="002C6879">
            <w:pPr>
              <w:rPr>
                <w:rFonts w:ascii="Arial" w:eastAsia="Times New Roman" w:hAnsi="Arial" w:cs="Arial"/>
                <w:b/>
                <w:bCs/>
                <w:lang w:eastAsia="en-GB"/>
              </w:rPr>
            </w:pPr>
            <w:r w:rsidRPr="00D94A3D">
              <w:rPr>
                <w:rFonts w:ascii="Arial" w:eastAsia="Times New Roman" w:hAnsi="Arial" w:cs="Arial"/>
                <w:b/>
                <w:bCs/>
                <w:lang w:eastAsia="en-GB"/>
              </w:rPr>
              <w:t>Complainant</w:t>
            </w:r>
          </w:p>
        </w:tc>
        <w:tc>
          <w:tcPr>
            <w:tcW w:w="4252" w:type="dxa"/>
            <w:noWrap/>
            <w:hideMark/>
          </w:tcPr>
          <w:p w14:paraId="6731A8B6" w14:textId="4746E740" w:rsidR="0017156B" w:rsidRPr="00D94A3D" w:rsidRDefault="0017156B" w:rsidP="002C6879">
            <w:pPr>
              <w:rPr>
                <w:rFonts w:ascii="Arial" w:eastAsia="Times New Roman" w:hAnsi="Arial" w:cs="Arial"/>
                <w:b/>
                <w:bCs/>
                <w:lang w:eastAsia="en-GB"/>
              </w:rPr>
            </w:pPr>
            <w:r w:rsidRPr="00D94A3D">
              <w:rPr>
                <w:rFonts w:ascii="Arial" w:eastAsia="Times New Roman" w:hAnsi="Arial" w:cs="Arial"/>
                <w:b/>
                <w:bCs/>
                <w:lang w:eastAsia="en-GB"/>
              </w:rPr>
              <w:t>Complaint Summary</w:t>
            </w:r>
          </w:p>
        </w:tc>
        <w:tc>
          <w:tcPr>
            <w:tcW w:w="1418" w:type="dxa"/>
            <w:hideMark/>
          </w:tcPr>
          <w:p w14:paraId="77222EC6" w14:textId="6B96FE93" w:rsidR="0017156B" w:rsidRPr="00D94A3D" w:rsidRDefault="0017156B" w:rsidP="002C6879">
            <w:pPr>
              <w:rPr>
                <w:rFonts w:ascii="Arial" w:eastAsia="Times New Roman" w:hAnsi="Arial" w:cs="Arial"/>
                <w:b/>
                <w:bCs/>
                <w:lang w:eastAsia="en-GB"/>
              </w:rPr>
            </w:pPr>
            <w:r w:rsidRPr="00D94A3D">
              <w:rPr>
                <w:rFonts w:ascii="Arial" w:eastAsia="Times New Roman" w:hAnsi="Arial" w:cs="Arial"/>
                <w:b/>
                <w:bCs/>
                <w:lang w:eastAsia="en-GB"/>
              </w:rPr>
              <w:t>Outcome</w:t>
            </w:r>
          </w:p>
        </w:tc>
        <w:tc>
          <w:tcPr>
            <w:tcW w:w="6236" w:type="dxa"/>
            <w:noWrap/>
            <w:hideMark/>
          </w:tcPr>
          <w:p w14:paraId="756947E7" w14:textId="300A76EA" w:rsidR="0017156B" w:rsidRPr="00D94A3D" w:rsidRDefault="0017156B" w:rsidP="002C6879">
            <w:pPr>
              <w:rPr>
                <w:rFonts w:ascii="Arial" w:eastAsia="Times New Roman" w:hAnsi="Arial" w:cs="Arial"/>
                <w:b/>
                <w:bCs/>
                <w:lang w:eastAsia="en-GB"/>
              </w:rPr>
            </w:pPr>
            <w:r w:rsidRPr="00D94A3D">
              <w:rPr>
                <w:rFonts w:ascii="Arial" w:eastAsia="Times New Roman" w:hAnsi="Arial" w:cs="Arial"/>
                <w:b/>
                <w:bCs/>
                <w:lang w:eastAsia="en-GB"/>
              </w:rPr>
              <w:t>Learning</w:t>
            </w:r>
          </w:p>
        </w:tc>
      </w:tr>
      <w:tr w:rsidR="00265A3F" w:rsidRPr="00D94A3D" w14:paraId="7C02074F" w14:textId="77777777" w:rsidTr="00B81C23">
        <w:trPr>
          <w:trHeight w:val="285"/>
        </w:trPr>
        <w:tc>
          <w:tcPr>
            <w:tcW w:w="2122" w:type="dxa"/>
          </w:tcPr>
          <w:p w14:paraId="1EDDE124" w14:textId="77777777" w:rsidR="00DD62FE" w:rsidRDefault="00DD62FE" w:rsidP="00DD62FE">
            <w:pPr>
              <w:rPr>
                <w:rFonts w:ascii="Calibri" w:hAnsi="Calibri" w:cs="Calibri"/>
                <w:color w:val="000000"/>
              </w:rPr>
            </w:pPr>
            <w:r>
              <w:rPr>
                <w:rFonts w:ascii="Calibri" w:hAnsi="Calibri" w:cs="Calibri"/>
                <w:color w:val="000000"/>
              </w:rPr>
              <w:t>Attitude and/or Conduct of a Third Party Contract or University Partner</w:t>
            </w:r>
          </w:p>
          <w:p w14:paraId="658A159B" w14:textId="3E3CD46C" w:rsidR="00265A3F" w:rsidRPr="00813D78" w:rsidRDefault="00265A3F" w:rsidP="008137D2">
            <w:pPr>
              <w:rPr>
                <w:rFonts w:ascii="Arial" w:eastAsia="Times New Roman" w:hAnsi="Arial" w:cs="Arial"/>
                <w:lang w:eastAsia="en-GB"/>
              </w:rPr>
            </w:pPr>
          </w:p>
        </w:tc>
        <w:tc>
          <w:tcPr>
            <w:tcW w:w="1559" w:type="dxa"/>
          </w:tcPr>
          <w:p w14:paraId="7D6BBD63" w14:textId="2C9A0667" w:rsidR="00265A3F" w:rsidRPr="00813D78" w:rsidRDefault="00DD62FE" w:rsidP="002C6879">
            <w:pPr>
              <w:rPr>
                <w:rFonts w:ascii="Arial" w:eastAsia="Times New Roman" w:hAnsi="Arial" w:cs="Arial"/>
                <w:lang w:eastAsia="en-GB"/>
              </w:rPr>
            </w:pPr>
            <w:r>
              <w:rPr>
                <w:rFonts w:ascii="Arial" w:eastAsia="Times New Roman" w:hAnsi="Arial" w:cs="Arial"/>
                <w:lang w:eastAsia="en-GB"/>
              </w:rPr>
              <w:t>Student</w:t>
            </w:r>
          </w:p>
        </w:tc>
        <w:tc>
          <w:tcPr>
            <w:tcW w:w="4252" w:type="dxa"/>
            <w:noWrap/>
          </w:tcPr>
          <w:p w14:paraId="06D7C59D" w14:textId="3B66214D" w:rsidR="00DD62FE" w:rsidRDefault="00DD62FE" w:rsidP="00DD62FE">
            <w:pPr>
              <w:rPr>
                <w:rFonts w:ascii="Calibri" w:hAnsi="Calibri" w:cs="Calibri"/>
                <w:color w:val="000000"/>
              </w:rPr>
            </w:pPr>
            <w:r>
              <w:rPr>
                <w:rFonts w:ascii="Calibri" w:hAnsi="Calibri" w:cs="Calibri"/>
                <w:color w:val="000000"/>
              </w:rPr>
              <w:t>The student let the department know that she was unhappy with the supervision that she received whilst on industrial placement.  She submitted an account.  We have offered her support and to complete a complaints form.  She is meeting colleagues 5 September.</w:t>
            </w:r>
          </w:p>
          <w:p w14:paraId="294D7641" w14:textId="64C29A41" w:rsidR="00265A3F" w:rsidRPr="00813D78" w:rsidRDefault="00265A3F" w:rsidP="002C6879">
            <w:pPr>
              <w:rPr>
                <w:rFonts w:ascii="Arial" w:eastAsia="Times New Roman" w:hAnsi="Arial" w:cs="Arial"/>
                <w:lang w:eastAsia="en-GB"/>
              </w:rPr>
            </w:pPr>
          </w:p>
        </w:tc>
        <w:tc>
          <w:tcPr>
            <w:tcW w:w="1418" w:type="dxa"/>
          </w:tcPr>
          <w:p w14:paraId="16E27DCE" w14:textId="5C79D45C" w:rsidR="00DD62FE" w:rsidRDefault="00DD62FE" w:rsidP="00DD62FE">
            <w:pPr>
              <w:rPr>
                <w:rFonts w:ascii="Calibri" w:hAnsi="Calibri" w:cs="Calibri"/>
                <w:color w:val="000000"/>
              </w:rPr>
            </w:pPr>
            <w:r>
              <w:rPr>
                <w:rFonts w:ascii="Calibri" w:hAnsi="Calibri" w:cs="Calibri"/>
                <w:color w:val="000000"/>
              </w:rPr>
              <w:t>Resolved</w:t>
            </w:r>
          </w:p>
          <w:p w14:paraId="1BBE55AF" w14:textId="01FCE465" w:rsidR="00265A3F" w:rsidRPr="00813D78" w:rsidRDefault="00265A3F" w:rsidP="002C6879">
            <w:pPr>
              <w:rPr>
                <w:rFonts w:ascii="Arial" w:eastAsia="Times New Roman" w:hAnsi="Arial" w:cs="Arial"/>
                <w:lang w:eastAsia="en-GB"/>
              </w:rPr>
            </w:pPr>
          </w:p>
        </w:tc>
        <w:tc>
          <w:tcPr>
            <w:tcW w:w="6236" w:type="dxa"/>
            <w:noWrap/>
          </w:tcPr>
          <w:p w14:paraId="536F77F6" w14:textId="61BC8D57" w:rsidR="00DD62FE" w:rsidRDefault="00DD62FE" w:rsidP="00DD62FE">
            <w:pPr>
              <w:rPr>
                <w:rFonts w:ascii="Calibri" w:hAnsi="Calibri" w:cs="Calibri"/>
                <w:color w:val="000000"/>
              </w:rPr>
            </w:pPr>
            <w:r>
              <w:rPr>
                <w:rFonts w:ascii="Calibri" w:hAnsi="Calibri" w:cs="Calibri"/>
                <w:color w:val="000000"/>
              </w:rPr>
              <w:t xml:space="preserve">Currently we recommend that placement providers conduct a mid-placement skills matrix mark to guide progress.  This will become a mandatory aspect of the supervision to ensure that students are clear about performance expectations before a final mark is issued. </w:t>
            </w:r>
          </w:p>
          <w:p w14:paraId="6FE9EBA5" w14:textId="7E0F09A8" w:rsidR="00265A3F" w:rsidRPr="00813D78" w:rsidRDefault="00265A3F" w:rsidP="00265A3F">
            <w:pPr>
              <w:rPr>
                <w:rFonts w:ascii="Arial" w:eastAsia="Times New Roman" w:hAnsi="Arial" w:cs="Arial"/>
                <w:lang w:eastAsia="en-GB"/>
              </w:rPr>
            </w:pPr>
          </w:p>
        </w:tc>
      </w:tr>
      <w:tr w:rsidR="00403297" w:rsidRPr="00D94A3D" w14:paraId="3C8926AC" w14:textId="77777777" w:rsidTr="00B81C23">
        <w:trPr>
          <w:trHeight w:val="285"/>
        </w:trPr>
        <w:tc>
          <w:tcPr>
            <w:tcW w:w="2122" w:type="dxa"/>
          </w:tcPr>
          <w:p w14:paraId="3030A43B" w14:textId="77777777" w:rsidR="00DD62FE" w:rsidRDefault="00DD62FE" w:rsidP="00DD62FE">
            <w:pPr>
              <w:rPr>
                <w:rFonts w:ascii="Calibri" w:hAnsi="Calibri" w:cs="Calibri"/>
                <w:color w:val="000000"/>
              </w:rPr>
            </w:pPr>
            <w:r>
              <w:rPr>
                <w:rFonts w:ascii="Calibri" w:hAnsi="Calibri" w:cs="Calibri"/>
                <w:color w:val="000000"/>
              </w:rPr>
              <w:t>University Policy, Procedures or Administration</w:t>
            </w:r>
          </w:p>
          <w:p w14:paraId="6DB75293" w14:textId="74272E14" w:rsidR="00403297" w:rsidRPr="00813D78" w:rsidRDefault="00403297" w:rsidP="00403297">
            <w:pPr>
              <w:rPr>
                <w:rFonts w:ascii="Arial" w:eastAsia="Times New Roman" w:hAnsi="Arial" w:cs="Arial"/>
                <w:lang w:eastAsia="en-GB"/>
              </w:rPr>
            </w:pPr>
          </w:p>
        </w:tc>
        <w:tc>
          <w:tcPr>
            <w:tcW w:w="1559" w:type="dxa"/>
          </w:tcPr>
          <w:p w14:paraId="5A563495" w14:textId="4A85FDB1" w:rsidR="00DD62FE" w:rsidRDefault="00DD62FE" w:rsidP="00DD62FE">
            <w:pPr>
              <w:rPr>
                <w:rFonts w:ascii="Calibri" w:hAnsi="Calibri" w:cs="Calibri"/>
                <w:color w:val="000000"/>
              </w:rPr>
            </w:pPr>
            <w:r>
              <w:rPr>
                <w:rFonts w:ascii="Calibri" w:hAnsi="Calibri" w:cs="Calibri"/>
                <w:color w:val="000000"/>
              </w:rPr>
              <w:t xml:space="preserve">Student </w:t>
            </w:r>
          </w:p>
          <w:p w14:paraId="2CE7BF2C" w14:textId="7586D692" w:rsidR="00403297" w:rsidRPr="00813D78" w:rsidRDefault="00403297" w:rsidP="00403297">
            <w:pPr>
              <w:rPr>
                <w:rFonts w:ascii="Arial" w:eastAsia="Times New Roman" w:hAnsi="Arial" w:cs="Arial"/>
                <w:lang w:eastAsia="en-GB"/>
              </w:rPr>
            </w:pPr>
          </w:p>
        </w:tc>
        <w:tc>
          <w:tcPr>
            <w:tcW w:w="4252" w:type="dxa"/>
            <w:noWrap/>
          </w:tcPr>
          <w:p w14:paraId="36B5B9E4" w14:textId="10D454D9" w:rsidR="00DD62FE" w:rsidRPr="00DD62FE" w:rsidRDefault="00DD62FE" w:rsidP="00DD62FE">
            <w:pPr>
              <w:rPr>
                <w:rFonts w:ascii="Arial" w:hAnsi="Arial" w:cs="Arial"/>
                <w:color w:val="000000"/>
              </w:rPr>
            </w:pPr>
            <w:r>
              <w:rPr>
                <w:rFonts w:ascii="Calibri" w:hAnsi="Calibri" w:cs="Calibri"/>
                <w:color w:val="000000"/>
              </w:rPr>
              <w:t>The complainant voluntarily withdrew from his course of study after two consecutive periods of voluntary suspension. His withdrawal request was processed, but he has subsequently emailed to say that he wanted a further period of voluntary suspension. He was advised that students cannot have more than two consecutive periods of voluntary suspension and that withdrawal and reapplication to his course was his only option. The complainant complained that he was not properly informed of the limitations of voluntary suspension. However, the voluntary suspension guidance had been sent to him at the time he enquired about applying for his second round of VS. I have responded to reiterate University policy on this matter.</w:t>
            </w:r>
          </w:p>
          <w:p w14:paraId="519DD8DE" w14:textId="70A84C69" w:rsidR="00403297" w:rsidRPr="00813D78" w:rsidRDefault="00403297" w:rsidP="00403297">
            <w:pPr>
              <w:rPr>
                <w:rFonts w:ascii="Arial" w:eastAsia="Times New Roman" w:hAnsi="Arial" w:cs="Arial"/>
                <w:lang w:eastAsia="en-GB"/>
              </w:rPr>
            </w:pPr>
          </w:p>
        </w:tc>
        <w:tc>
          <w:tcPr>
            <w:tcW w:w="1418" w:type="dxa"/>
          </w:tcPr>
          <w:p w14:paraId="529C55F8" w14:textId="6411611F" w:rsidR="00DD62FE" w:rsidRDefault="00FE058D" w:rsidP="00DD62FE">
            <w:pPr>
              <w:rPr>
                <w:rFonts w:ascii="Calibri" w:hAnsi="Calibri" w:cs="Calibri"/>
                <w:color w:val="000000"/>
              </w:rPr>
            </w:pPr>
            <w:r>
              <w:rPr>
                <w:rFonts w:ascii="Calibri" w:hAnsi="Calibri" w:cs="Calibri"/>
                <w:color w:val="000000"/>
              </w:rPr>
              <w:t>Partially Upheld</w:t>
            </w:r>
          </w:p>
          <w:p w14:paraId="2F95AD58" w14:textId="5D8EB9BD" w:rsidR="00403297" w:rsidRPr="00813D78" w:rsidRDefault="00403297" w:rsidP="00403297">
            <w:pPr>
              <w:rPr>
                <w:rFonts w:ascii="Arial" w:eastAsia="Times New Roman" w:hAnsi="Arial" w:cs="Arial"/>
                <w:lang w:eastAsia="en-GB"/>
              </w:rPr>
            </w:pPr>
          </w:p>
        </w:tc>
        <w:tc>
          <w:tcPr>
            <w:tcW w:w="6236" w:type="dxa"/>
            <w:noWrap/>
          </w:tcPr>
          <w:p w14:paraId="055BF665" w14:textId="0EDB8DDE" w:rsidR="00DD62FE" w:rsidRDefault="00DD62FE" w:rsidP="00DD62FE">
            <w:pPr>
              <w:rPr>
                <w:rFonts w:ascii="Calibri" w:hAnsi="Calibri" w:cs="Calibri"/>
                <w:color w:val="000000"/>
              </w:rPr>
            </w:pPr>
            <w:r>
              <w:rPr>
                <w:rFonts w:ascii="Calibri" w:hAnsi="Calibri" w:cs="Calibri"/>
                <w:color w:val="000000"/>
              </w:rPr>
              <w:t>Whilst the University followed the correct policy in this case, they could have followed up on the voluntary withdrawal request to check directly with the student that this was, in fact, the intended course of action. This may not have changed the overall action/decision on his study, but it may have allowed the student to get further information on his status earlier.</w:t>
            </w:r>
          </w:p>
          <w:p w14:paraId="1C27C3A4" w14:textId="1AD059CB" w:rsidR="00403297" w:rsidRPr="00813D78" w:rsidRDefault="00403297" w:rsidP="00813D78">
            <w:pPr>
              <w:rPr>
                <w:rFonts w:ascii="Arial" w:eastAsia="Times New Roman" w:hAnsi="Arial" w:cs="Arial"/>
                <w:lang w:eastAsia="en-GB"/>
              </w:rPr>
            </w:pPr>
          </w:p>
        </w:tc>
      </w:tr>
      <w:tr w:rsidR="00403297" w:rsidRPr="00D94A3D" w14:paraId="794880A8" w14:textId="77777777" w:rsidTr="00B81C23">
        <w:trPr>
          <w:trHeight w:val="285"/>
        </w:trPr>
        <w:tc>
          <w:tcPr>
            <w:tcW w:w="2122" w:type="dxa"/>
          </w:tcPr>
          <w:p w14:paraId="2F75D64D" w14:textId="77777777" w:rsidR="00FE058D" w:rsidRDefault="00FE058D" w:rsidP="00FE058D">
            <w:pPr>
              <w:rPr>
                <w:rFonts w:ascii="Calibri" w:hAnsi="Calibri" w:cs="Calibri"/>
                <w:color w:val="000000"/>
              </w:rPr>
            </w:pPr>
            <w:r>
              <w:rPr>
                <w:rFonts w:ascii="Calibri" w:hAnsi="Calibri" w:cs="Calibri"/>
                <w:color w:val="000000"/>
              </w:rPr>
              <w:t>Academic Support</w:t>
            </w:r>
          </w:p>
          <w:p w14:paraId="6E971C02" w14:textId="4CED9215" w:rsidR="00403297" w:rsidRPr="00653652" w:rsidRDefault="00403297" w:rsidP="00403297">
            <w:pPr>
              <w:rPr>
                <w:rFonts w:ascii="Arial" w:eastAsia="Times New Roman" w:hAnsi="Arial" w:cs="Arial"/>
                <w:lang w:eastAsia="en-GB"/>
              </w:rPr>
            </w:pPr>
          </w:p>
        </w:tc>
        <w:tc>
          <w:tcPr>
            <w:tcW w:w="1559" w:type="dxa"/>
          </w:tcPr>
          <w:p w14:paraId="638B0528" w14:textId="7A76E31C" w:rsidR="00FE058D" w:rsidRDefault="00FE058D" w:rsidP="00FE058D">
            <w:pPr>
              <w:rPr>
                <w:rFonts w:ascii="Calibri" w:hAnsi="Calibri" w:cs="Calibri"/>
                <w:color w:val="000000"/>
              </w:rPr>
            </w:pPr>
            <w:r>
              <w:rPr>
                <w:rFonts w:ascii="Calibri" w:hAnsi="Calibri" w:cs="Calibri"/>
                <w:color w:val="000000"/>
              </w:rPr>
              <w:t>Student</w:t>
            </w:r>
          </w:p>
          <w:p w14:paraId="361A7662" w14:textId="1AE8B0F7" w:rsidR="00403297" w:rsidRPr="00653652" w:rsidRDefault="00403297" w:rsidP="00403297">
            <w:pPr>
              <w:rPr>
                <w:rFonts w:ascii="Arial" w:eastAsia="Times New Roman" w:hAnsi="Arial" w:cs="Arial"/>
                <w:lang w:eastAsia="en-GB"/>
              </w:rPr>
            </w:pPr>
          </w:p>
        </w:tc>
        <w:tc>
          <w:tcPr>
            <w:tcW w:w="4252" w:type="dxa"/>
            <w:noWrap/>
          </w:tcPr>
          <w:p w14:paraId="076279B0" w14:textId="0CE5AF4C" w:rsidR="00FE058D" w:rsidRDefault="00FE058D" w:rsidP="00FE058D">
            <w:pPr>
              <w:rPr>
                <w:rFonts w:ascii="Calibri" w:hAnsi="Calibri" w:cs="Calibri"/>
                <w:color w:val="000000"/>
              </w:rPr>
            </w:pPr>
            <w:r>
              <w:rPr>
                <w:rFonts w:ascii="Calibri" w:hAnsi="Calibri" w:cs="Calibri"/>
                <w:color w:val="000000"/>
              </w:rPr>
              <w:t>The complaint was submitted as an appeal around lack of support during preparation for resit including a lack of response to the student queries by email.</w:t>
            </w:r>
          </w:p>
          <w:p w14:paraId="303C589B" w14:textId="0FBB2D95" w:rsidR="00403297" w:rsidRPr="00653652" w:rsidRDefault="00403297" w:rsidP="00C732C4">
            <w:pPr>
              <w:rPr>
                <w:rFonts w:ascii="Arial" w:eastAsia="Times New Roman" w:hAnsi="Arial" w:cs="Arial"/>
                <w:lang w:eastAsia="en-GB"/>
              </w:rPr>
            </w:pPr>
          </w:p>
        </w:tc>
        <w:tc>
          <w:tcPr>
            <w:tcW w:w="1418" w:type="dxa"/>
          </w:tcPr>
          <w:p w14:paraId="6E412931" w14:textId="77777777" w:rsidR="00FE058D" w:rsidRDefault="00FE058D" w:rsidP="00FE058D">
            <w:pPr>
              <w:rPr>
                <w:rFonts w:ascii="Calibri" w:hAnsi="Calibri" w:cs="Calibri"/>
                <w:color w:val="000000"/>
              </w:rPr>
            </w:pPr>
            <w:r>
              <w:rPr>
                <w:rFonts w:ascii="Calibri" w:hAnsi="Calibri" w:cs="Calibri"/>
                <w:color w:val="000000"/>
              </w:rPr>
              <w:t>Upheld</w:t>
            </w:r>
          </w:p>
          <w:p w14:paraId="16200555" w14:textId="5E3DA5D0" w:rsidR="00403297" w:rsidRPr="00653652" w:rsidRDefault="00403297" w:rsidP="00403297">
            <w:pPr>
              <w:rPr>
                <w:rFonts w:ascii="Arial" w:eastAsia="Times New Roman" w:hAnsi="Arial" w:cs="Arial"/>
                <w:lang w:eastAsia="en-GB"/>
              </w:rPr>
            </w:pPr>
          </w:p>
        </w:tc>
        <w:tc>
          <w:tcPr>
            <w:tcW w:w="6236" w:type="dxa"/>
            <w:noWrap/>
          </w:tcPr>
          <w:p w14:paraId="371EACDE" w14:textId="77777777" w:rsidR="00FE058D" w:rsidRDefault="00FE058D" w:rsidP="00FE058D">
            <w:pPr>
              <w:rPr>
                <w:rFonts w:ascii="Calibri" w:hAnsi="Calibri" w:cs="Calibri"/>
                <w:color w:val="000000"/>
              </w:rPr>
            </w:pPr>
            <w:r>
              <w:rPr>
                <w:rFonts w:ascii="Calibri" w:hAnsi="Calibri" w:cs="Calibri"/>
                <w:color w:val="000000"/>
              </w:rPr>
              <w:t>The Head of Department must instigate a module review to put in place appropriate methods of feedback, support and marking scheme.</w:t>
            </w:r>
          </w:p>
          <w:p w14:paraId="65794B3E" w14:textId="1F66393A" w:rsidR="00403297" w:rsidRPr="00653652" w:rsidRDefault="00403297" w:rsidP="008137D2">
            <w:pPr>
              <w:rPr>
                <w:rFonts w:ascii="Arial" w:eastAsia="Times New Roman" w:hAnsi="Arial" w:cs="Arial"/>
                <w:lang w:eastAsia="en-GB"/>
              </w:rPr>
            </w:pPr>
          </w:p>
        </w:tc>
      </w:tr>
    </w:tbl>
    <w:p w14:paraId="2B784B3F" w14:textId="48684A81" w:rsidR="009B2CE2" w:rsidRPr="00602274" w:rsidRDefault="009B2CE2" w:rsidP="00F60265">
      <w:pPr>
        <w:spacing w:after="160" w:line="259" w:lineRule="auto"/>
        <w:jc w:val="right"/>
        <w:rPr>
          <w:noProof/>
          <w:sz w:val="2"/>
          <w:szCs w:val="2"/>
          <w:lang w:eastAsia="en-GB"/>
        </w:rPr>
      </w:pPr>
    </w:p>
    <w:sectPr w:rsidR="009B2CE2" w:rsidRPr="00602274" w:rsidSect="0020495D">
      <w:headerReference w:type="default" r:id="rId20"/>
      <w:headerReference w:type="first" r:id="rId21"/>
      <w:footerReference w:type="first" r:id="rId22"/>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05EB" w14:textId="77777777" w:rsidR="00354B47" w:rsidRDefault="00354B47" w:rsidP="00F65FD3">
      <w:r>
        <w:separator/>
      </w:r>
    </w:p>
  </w:endnote>
  <w:endnote w:type="continuationSeparator" w:id="0">
    <w:p w14:paraId="2B43CB4F" w14:textId="77777777" w:rsidR="00354B47" w:rsidRDefault="00354B47" w:rsidP="00F65FD3">
      <w:r>
        <w:continuationSeparator/>
      </w:r>
    </w:p>
  </w:endnote>
  <w:endnote w:type="continuationNotice" w:id="1">
    <w:p w14:paraId="154D6A16" w14:textId="77777777" w:rsidR="00354B47" w:rsidRDefault="00354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ECDA" w14:textId="0CF6396B" w:rsidR="00CE326A" w:rsidRPr="004D47B7" w:rsidRDefault="007C04A9" w:rsidP="00B8294D">
    <w:pPr>
      <w:pStyle w:val="Footer"/>
      <w:jc w:val="right"/>
      <w:rPr>
        <w:rFonts w:ascii="Arial" w:hAnsi="Arial" w:cs="Arial"/>
      </w:rPr>
    </w:pPr>
    <w:r>
      <w:rPr>
        <w:noProof/>
        <w:sz w:val="14"/>
        <w:szCs w:val="14"/>
      </w:rPr>
      <w:drawing>
        <wp:anchor distT="0" distB="0" distL="114300" distR="114300" simplePos="0" relativeHeight="251658240" behindDoc="1" locked="0" layoutInCell="1" allowOverlap="1" wp14:anchorId="6607E9B8" wp14:editId="3DB1CFAA">
          <wp:simplePos x="0" y="0"/>
          <wp:positionH relativeFrom="margin">
            <wp:posOffset>50800</wp:posOffset>
          </wp:positionH>
          <wp:positionV relativeFrom="paragraph">
            <wp:posOffset>52705</wp:posOffset>
          </wp:positionV>
          <wp:extent cx="6260400" cy="406800"/>
          <wp:effectExtent l="0" t="0" r="0" b="0"/>
          <wp:wrapNone/>
          <wp:docPr id="5" name="Picture 5" descr="THE QUEEN’S ANNIVERSARY PRIZES&#10;2019 &amp; 2021&#10;For Higher and Further Education&#10; &#10;UNIVERSITY OF THE YEAR&#10;2012 &amp; 2019&#10;Times Higher Education&#10; &#10;SCOTTISH UNIVERSITY OF THE YEAR&#10;2020&#10;The Times &amp; The Sunda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QUEEN’S ANNIVERSARY PRIZES&#10;2019 &amp; 2021&#10;For Higher and Further Education&#10; &#10;UNIVERSITY OF THE YEAR&#10;2012 &amp; 2019&#10;Times Higher Education&#10; &#10;SCOTTISH UNIVERSITY OF THE YEAR&#10;2020&#10;The Times &amp; The Sunday Times"/>
                  <pic:cNvPicPr/>
                </pic:nvPicPr>
                <pic:blipFill>
                  <a:blip r:embed="rId1"/>
                  <a:stretch>
                    <a:fillRect/>
                  </a:stretch>
                </pic:blipFill>
                <pic:spPr>
                  <a:xfrm>
                    <a:off x="0" y="0"/>
                    <a:ext cx="6260400" cy="406800"/>
                  </a:xfrm>
                  <a:prstGeom prst="rect">
                    <a:avLst/>
                  </a:prstGeom>
                </pic:spPr>
              </pic:pic>
            </a:graphicData>
          </a:graphic>
          <wp14:sizeRelH relativeFrom="margin">
            <wp14:pctWidth>0</wp14:pctWidth>
          </wp14:sizeRelH>
          <wp14:sizeRelV relativeFrom="margin">
            <wp14:pctHeight>0</wp14:pctHeight>
          </wp14:sizeRelV>
        </wp:anchor>
      </w:drawing>
    </w:r>
  </w:p>
  <w:p w14:paraId="587C905D" w14:textId="07957D57" w:rsidR="00CE326A" w:rsidRPr="00B8294D" w:rsidRDefault="00CE326A" w:rsidP="00B8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4ABA" w14:textId="5C473BE6" w:rsidR="007C04A9" w:rsidRPr="004D47B7" w:rsidRDefault="007C04A9" w:rsidP="00B8294D">
    <w:pPr>
      <w:pStyle w:val="Footer"/>
      <w:jc w:val="right"/>
      <w:rPr>
        <w:rFonts w:ascii="Arial" w:hAnsi="Arial" w:cs="Arial"/>
      </w:rPr>
    </w:pPr>
  </w:p>
  <w:p w14:paraId="3477BE8D" w14:textId="77777777" w:rsidR="007C04A9" w:rsidRPr="00B8294D" w:rsidRDefault="007C04A9" w:rsidP="00B82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C929" w14:textId="77777777" w:rsidR="00CE326A" w:rsidRPr="001918AA" w:rsidRDefault="00CE326A" w:rsidP="0019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F503" w14:textId="77777777" w:rsidR="00354B47" w:rsidRDefault="00354B47" w:rsidP="00F65FD3">
      <w:r>
        <w:separator/>
      </w:r>
    </w:p>
  </w:footnote>
  <w:footnote w:type="continuationSeparator" w:id="0">
    <w:p w14:paraId="12ED15BA" w14:textId="77777777" w:rsidR="00354B47" w:rsidRDefault="00354B47" w:rsidP="00F65FD3">
      <w:r>
        <w:continuationSeparator/>
      </w:r>
    </w:p>
  </w:footnote>
  <w:footnote w:type="continuationNotice" w:id="1">
    <w:p w14:paraId="0E9ABE28" w14:textId="77777777" w:rsidR="00354B47" w:rsidRDefault="00354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905B" w14:textId="374EB411" w:rsidR="00CE326A" w:rsidRDefault="007C04A9">
    <w:pPr>
      <w:pStyle w:val="Header"/>
    </w:pPr>
    <w:r>
      <w:rPr>
        <w:noProof/>
      </w:rPr>
      <w:drawing>
        <wp:anchor distT="0" distB="0" distL="114300" distR="114300" simplePos="0" relativeHeight="251657216" behindDoc="1" locked="0" layoutInCell="1" allowOverlap="1" wp14:anchorId="615EC6A4" wp14:editId="364CB827">
          <wp:simplePos x="0" y="0"/>
          <wp:positionH relativeFrom="margin">
            <wp:posOffset>0</wp:posOffset>
          </wp:positionH>
          <wp:positionV relativeFrom="paragraph">
            <wp:posOffset>7620</wp:posOffset>
          </wp:positionV>
          <wp:extent cx="2524259" cy="747294"/>
          <wp:effectExtent l="0" t="0" r="0" b="0"/>
          <wp:wrapTopAndBottom/>
          <wp:docPr id="1" name="Picture 1" descr="University of Strathclyd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Strathclyde Crest"/>
                  <pic:cNvPicPr/>
                </pic:nvPicPr>
                <pic:blipFill>
                  <a:blip r:embed="rId1"/>
                  <a:stretch>
                    <a:fillRect/>
                  </a:stretch>
                </pic:blipFill>
                <pic:spPr>
                  <a:xfrm>
                    <a:off x="0" y="0"/>
                    <a:ext cx="2524259" cy="74729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44E5" w14:textId="53ACD4A3" w:rsidR="007C04A9" w:rsidRDefault="007C0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7280" w14:textId="4F334BD9" w:rsidR="00CE326A" w:rsidRPr="00437764" w:rsidRDefault="00437764">
    <w:pPr>
      <w:pStyle w:val="Header"/>
      <w:rPr>
        <w:rFonts w:ascii="Arial" w:hAnsi="Arial" w:cs="Arial"/>
        <w:sz w:val="24"/>
        <w:szCs w:val="24"/>
      </w:rP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5B4F" w14:textId="44385DF3" w:rsidR="007A630C" w:rsidRPr="002614CA" w:rsidRDefault="00437764" w:rsidP="007A630C">
    <w:pPr>
      <w:rPr>
        <w:sz w:val="24"/>
        <w:szCs w:val="24"/>
      </w:rPr>
    </w:pPr>
    <w:r>
      <w:t xml:space="preserve">           </w:t>
    </w:r>
    <w:r w:rsidRPr="007A630C">
      <w:rPr>
        <w:rFonts w:ascii="Arial" w:hAnsi="Arial" w:cs="Arial"/>
        <w:sz w:val="24"/>
        <w:szCs w:val="24"/>
      </w:rPr>
      <w:t xml:space="preserve">                                                                                       </w:t>
    </w:r>
    <w:r w:rsidR="007A630C">
      <w:rPr>
        <w:rFonts w:ascii="Arial" w:hAnsi="Arial" w:cs="Arial"/>
        <w:sz w:val="24"/>
        <w:szCs w:val="24"/>
      </w:rPr>
      <w:tab/>
      <w:t xml:space="preserve">                                                                                                                    </w:t>
    </w:r>
    <w:r w:rsidR="007A630C" w:rsidRPr="002614CA">
      <w:rPr>
        <w:rFonts w:ascii="Arial" w:hAnsi="Arial" w:cs="Arial"/>
        <w:b/>
        <w:sz w:val="24"/>
        <w:szCs w:val="24"/>
      </w:rPr>
      <w:t xml:space="preserve">ANNEX </w:t>
    </w:r>
    <w:r w:rsidR="007A630C">
      <w:rPr>
        <w:rFonts w:ascii="Arial" w:hAnsi="Arial" w:cs="Arial"/>
        <w:b/>
        <w:sz w:val="24"/>
        <w:szCs w:val="24"/>
      </w:rPr>
      <w:t>A</w:t>
    </w:r>
  </w:p>
  <w:p w14:paraId="0DF3C7D0" w14:textId="0500CE87" w:rsidR="00CE326A" w:rsidRPr="007A630C" w:rsidRDefault="00CE326A" w:rsidP="007A630C">
    <w:pPr>
      <w:pStyle w:val="Header"/>
      <w:tabs>
        <w:tab w:val="clear" w:pos="9026"/>
        <w:tab w:val="right" w:pos="15398"/>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467"/>
    <w:multiLevelType w:val="hybridMultilevel"/>
    <w:tmpl w:val="D590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51660"/>
    <w:multiLevelType w:val="hybridMultilevel"/>
    <w:tmpl w:val="3872B83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 w15:restartNumberingAfterBreak="0">
    <w:nsid w:val="0CB701F4"/>
    <w:multiLevelType w:val="hybridMultilevel"/>
    <w:tmpl w:val="561E540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0682510"/>
    <w:multiLevelType w:val="hybridMultilevel"/>
    <w:tmpl w:val="3ED04446"/>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A0D60"/>
    <w:multiLevelType w:val="hybridMultilevel"/>
    <w:tmpl w:val="944A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C676A"/>
    <w:multiLevelType w:val="hybridMultilevel"/>
    <w:tmpl w:val="40C29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E03A6"/>
    <w:multiLevelType w:val="hybridMultilevel"/>
    <w:tmpl w:val="5FF25970"/>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25FC5D98"/>
    <w:multiLevelType w:val="hybridMultilevel"/>
    <w:tmpl w:val="90DE08DA"/>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8" w15:restartNumberingAfterBreak="0">
    <w:nsid w:val="26733904"/>
    <w:multiLevelType w:val="hybridMultilevel"/>
    <w:tmpl w:val="FCB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B77D5"/>
    <w:multiLevelType w:val="hybridMultilevel"/>
    <w:tmpl w:val="0C22F430"/>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04679"/>
    <w:multiLevelType w:val="hybridMultilevel"/>
    <w:tmpl w:val="A22AC29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1" w15:restartNumberingAfterBreak="0">
    <w:nsid w:val="31FC3D17"/>
    <w:multiLevelType w:val="hybridMultilevel"/>
    <w:tmpl w:val="D71E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C3E7E"/>
    <w:multiLevelType w:val="hybridMultilevel"/>
    <w:tmpl w:val="641CE8F2"/>
    <w:lvl w:ilvl="0" w:tplc="4FD2B272">
      <w:start w:val="1"/>
      <w:numFmt w:val="lowerLetter"/>
      <w:lvlText w:val="(%1)"/>
      <w:lvlJc w:val="left"/>
      <w:pPr>
        <w:ind w:left="708" w:hanging="566"/>
      </w:pPr>
      <w:rPr>
        <w:rFonts w:hint="default"/>
        <w:spacing w:val="-1"/>
        <w:w w:val="108"/>
      </w:rPr>
    </w:lvl>
    <w:lvl w:ilvl="1" w:tplc="55504E30">
      <w:start w:val="1"/>
      <w:numFmt w:val="lowerRoman"/>
      <w:lvlText w:val="%2."/>
      <w:lvlJc w:val="left"/>
      <w:pPr>
        <w:ind w:left="1430" w:hanging="480"/>
        <w:jc w:val="right"/>
      </w:pPr>
      <w:rPr>
        <w:rFonts w:hint="default"/>
        <w:spacing w:val="-1"/>
        <w:w w:val="106"/>
      </w:rPr>
    </w:lvl>
    <w:lvl w:ilvl="2" w:tplc="1F94DBCE">
      <w:numFmt w:val="bullet"/>
      <w:lvlText w:val="•"/>
      <w:lvlJc w:val="left"/>
      <w:pPr>
        <w:ind w:left="2194" w:hanging="355"/>
      </w:pPr>
      <w:rPr>
        <w:rFonts w:hint="default"/>
        <w:w w:val="106"/>
      </w:rPr>
    </w:lvl>
    <w:lvl w:ilvl="3" w:tplc="2CA03B16">
      <w:numFmt w:val="bullet"/>
      <w:lvlText w:val="•"/>
      <w:lvlJc w:val="left"/>
      <w:pPr>
        <w:ind w:left="2200" w:hanging="355"/>
      </w:pPr>
      <w:rPr>
        <w:rFonts w:hint="default"/>
      </w:rPr>
    </w:lvl>
    <w:lvl w:ilvl="4" w:tplc="35601244">
      <w:numFmt w:val="bullet"/>
      <w:lvlText w:val="•"/>
      <w:lvlJc w:val="left"/>
      <w:pPr>
        <w:ind w:left="3234" w:hanging="355"/>
      </w:pPr>
      <w:rPr>
        <w:rFonts w:hint="default"/>
      </w:rPr>
    </w:lvl>
    <w:lvl w:ilvl="5" w:tplc="05B67AF6">
      <w:numFmt w:val="bullet"/>
      <w:lvlText w:val="•"/>
      <w:lvlJc w:val="left"/>
      <w:pPr>
        <w:ind w:left="4268" w:hanging="355"/>
      </w:pPr>
      <w:rPr>
        <w:rFonts w:hint="default"/>
      </w:rPr>
    </w:lvl>
    <w:lvl w:ilvl="6" w:tplc="9AD08A26">
      <w:numFmt w:val="bullet"/>
      <w:lvlText w:val="•"/>
      <w:lvlJc w:val="left"/>
      <w:pPr>
        <w:ind w:left="5302" w:hanging="355"/>
      </w:pPr>
      <w:rPr>
        <w:rFonts w:hint="default"/>
      </w:rPr>
    </w:lvl>
    <w:lvl w:ilvl="7" w:tplc="57142964">
      <w:numFmt w:val="bullet"/>
      <w:lvlText w:val="•"/>
      <w:lvlJc w:val="left"/>
      <w:pPr>
        <w:ind w:left="6337" w:hanging="355"/>
      </w:pPr>
      <w:rPr>
        <w:rFonts w:hint="default"/>
      </w:rPr>
    </w:lvl>
    <w:lvl w:ilvl="8" w:tplc="4F5020C8">
      <w:numFmt w:val="bullet"/>
      <w:lvlText w:val="•"/>
      <w:lvlJc w:val="left"/>
      <w:pPr>
        <w:ind w:left="7371" w:hanging="355"/>
      </w:pPr>
      <w:rPr>
        <w:rFonts w:hint="default"/>
      </w:rPr>
    </w:lvl>
  </w:abstractNum>
  <w:abstractNum w:abstractNumId="13" w15:restartNumberingAfterBreak="0">
    <w:nsid w:val="3CF7118E"/>
    <w:multiLevelType w:val="hybridMultilevel"/>
    <w:tmpl w:val="5A40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DFA"/>
    <w:multiLevelType w:val="hybridMultilevel"/>
    <w:tmpl w:val="AB240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D11EDC"/>
    <w:multiLevelType w:val="hybridMultilevel"/>
    <w:tmpl w:val="04C4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37755"/>
    <w:multiLevelType w:val="hybridMultilevel"/>
    <w:tmpl w:val="90462F5E"/>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51071"/>
    <w:multiLevelType w:val="hybridMultilevel"/>
    <w:tmpl w:val="F0C8D744"/>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43AD3"/>
    <w:multiLevelType w:val="hybridMultilevel"/>
    <w:tmpl w:val="ED04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A7C10"/>
    <w:multiLevelType w:val="hybridMultilevel"/>
    <w:tmpl w:val="50FEAC86"/>
    <w:lvl w:ilvl="0" w:tplc="08090001">
      <w:start w:val="1"/>
      <w:numFmt w:val="bullet"/>
      <w:lvlText w:val=""/>
      <w:lvlJc w:val="left"/>
      <w:pPr>
        <w:ind w:left="787" w:hanging="360"/>
      </w:pPr>
      <w:rPr>
        <w:rFonts w:ascii="Symbol" w:hAnsi="Symbol" w:hint="default"/>
      </w:rPr>
    </w:lvl>
    <w:lvl w:ilvl="1" w:tplc="2140DFA0">
      <w:numFmt w:val="bullet"/>
      <w:lvlText w:val="•"/>
      <w:lvlJc w:val="left"/>
      <w:pPr>
        <w:ind w:left="1507" w:hanging="360"/>
      </w:pPr>
      <w:rPr>
        <w:rFonts w:ascii="Arial" w:eastAsia="Times New Roman" w:hAnsi="Arial" w:cs="Arial" w:hint="default"/>
      </w:r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0" w15:restartNumberingAfterBreak="0">
    <w:nsid w:val="4E0C5B71"/>
    <w:multiLevelType w:val="hybridMultilevel"/>
    <w:tmpl w:val="91B6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C6A20"/>
    <w:multiLevelType w:val="hybridMultilevel"/>
    <w:tmpl w:val="3B0809C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AB810FD"/>
    <w:multiLevelType w:val="hybridMultilevel"/>
    <w:tmpl w:val="FC96A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230C0"/>
    <w:multiLevelType w:val="hybridMultilevel"/>
    <w:tmpl w:val="28907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DA1A42"/>
    <w:multiLevelType w:val="hybridMultilevel"/>
    <w:tmpl w:val="ECD8BEDC"/>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571A98"/>
    <w:multiLevelType w:val="hybridMultilevel"/>
    <w:tmpl w:val="F0C8D744"/>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C67B7"/>
    <w:multiLevelType w:val="hybridMultilevel"/>
    <w:tmpl w:val="4C165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84072"/>
    <w:multiLevelType w:val="hybridMultilevel"/>
    <w:tmpl w:val="3708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161FD"/>
    <w:multiLevelType w:val="hybridMultilevel"/>
    <w:tmpl w:val="FC9A2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55494"/>
    <w:multiLevelType w:val="hybridMultilevel"/>
    <w:tmpl w:val="D2882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746138A"/>
    <w:multiLevelType w:val="hybridMultilevel"/>
    <w:tmpl w:val="76E6C5E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AEE4A60"/>
    <w:multiLevelType w:val="hybridMultilevel"/>
    <w:tmpl w:val="2C02D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391E0C"/>
    <w:multiLevelType w:val="hybridMultilevel"/>
    <w:tmpl w:val="C55E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55B21"/>
    <w:multiLevelType w:val="hybridMultilevel"/>
    <w:tmpl w:val="ECD8BEDC"/>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31C7D"/>
    <w:multiLevelType w:val="hybridMultilevel"/>
    <w:tmpl w:val="3468C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4053906">
    <w:abstractNumId w:val="10"/>
  </w:num>
  <w:num w:numId="2" w16cid:durableId="1756199325">
    <w:abstractNumId w:val="9"/>
  </w:num>
  <w:num w:numId="3" w16cid:durableId="1392849855">
    <w:abstractNumId w:val="8"/>
  </w:num>
  <w:num w:numId="4" w16cid:durableId="289212572">
    <w:abstractNumId w:val="6"/>
  </w:num>
  <w:num w:numId="5" w16cid:durableId="456412644">
    <w:abstractNumId w:val="16"/>
  </w:num>
  <w:num w:numId="6" w16cid:durableId="748697882">
    <w:abstractNumId w:val="33"/>
  </w:num>
  <w:num w:numId="7" w16cid:durableId="278797932">
    <w:abstractNumId w:val="24"/>
  </w:num>
  <w:num w:numId="8" w16cid:durableId="732385687">
    <w:abstractNumId w:val="3"/>
  </w:num>
  <w:num w:numId="9" w16cid:durableId="76558134">
    <w:abstractNumId w:val="17"/>
  </w:num>
  <w:num w:numId="10" w16cid:durableId="1963267757">
    <w:abstractNumId w:val="31"/>
  </w:num>
  <w:num w:numId="11" w16cid:durableId="1275694">
    <w:abstractNumId w:val="25"/>
  </w:num>
  <w:num w:numId="12" w16cid:durableId="1645161958">
    <w:abstractNumId w:val="14"/>
  </w:num>
  <w:num w:numId="13" w16cid:durableId="641227926">
    <w:abstractNumId w:val="7"/>
  </w:num>
  <w:num w:numId="14" w16cid:durableId="1511523895">
    <w:abstractNumId w:val="19"/>
  </w:num>
  <w:num w:numId="15" w16cid:durableId="101076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9572833">
    <w:abstractNumId w:val="12"/>
  </w:num>
  <w:num w:numId="17" w16cid:durableId="567225049">
    <w:abstractNumId w:val="34"/>
  </w:num>
  <w:num w:numId="18" w16cid:durableId="1971669181">
    <w:abstractNumId w:val="0"/>
  </w:num>
  <w:num w:numId="19" w16cid:durableId="957565910">
    <w:abstractNumId w:val="13"/>
  </w:num>
  <w:num w:numId="20" w16cid:durableId="312835549">
    <w:abstractNumId w:val="28"/>
  </w:num>
  <w:num w:numId="21" w16cid:durableId="529421120">
    <w:abstractNumId w:val="4"/>
  </w:num>
  <w:num w:numId="22" w16cid:durableId="1397706316">
    <w:abstractNumId w:val="18"/>
  </w:num>
  <w:num w:numId="23" w16cid:durableId="1107580751">
    <w:abstractNumId w:val="15"/>
  </w:num>
  <w:num w:numId="24" w16cid:durableId="131875366">
    <w:abstractNumId w:val="26"/>
  </w:num>
  <w:num w:numId="25" w16cid:durableId="593588539">
    <w:abstractNumId w:val="1"/>
  </w:num>
  <w:num w:numId="26" w16cid:durableId="153573560">
    <w:abstractNumId w:val="32"/>
  </w:num>
  <w:num w:numId="27" w16cid:durableId="1332560862">
    <w:abstractNumId w:val="27"/>
  </w:num>
  <w:num w:numId="28" w16cid:durableId="50085502">
    <w:abstractNumId w:val="11"/>
  </w:num>
  <w:num w:numId="29" w16cid:durableId="367223157">
    <w:abstractNumId w:val="5"/>
  </w:num>
  <w:num w:numId="30" w16cid:durableId="367685007">
    <w:abstractNumId w:val="22"/>
  </w:num>
  <w:num w:numId="31" w16cid:durableId="805973188">
    <w:abstractNumId w:val="2"/>
  </w:num>
  <w:num w:numId="32" w16cid:durableId="1235551575">
    <w:abstractNumId w:val="30"/>
  </w:num>
  <w:num w:numId="33" w16cid:durableId="1559319642">
    <w:abstractNumId w:val="20"/>
  </w:num>
  <w:num w:numId="34" w16cid:durableId="240606484">
    <w:abstractNumId w:val="21"/>
  </w:num>
  <w:num w:numId="35" w16cid:durableId="17203267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44"/>
    <w:rsid w:val="00005156"/>
    <w:rsid w:val="00005724"/>
    <w:rsid w:val="00006C93"/>
    <w:rsid w:val="00010579"/>
    <w:rsid w:val="00010AEE"/>
    <w:rsid w:val="00013317"/>
    <w:rsid w:val="00013DD9"/>
    <w:rsid w:val="00014737"/>
    <w:rsid w:val="000210B9"/>
    <w:rsid w:val="00021D5F"/>
    <w:rsid w:val="00035159"/>
    <w:rsid w:val="0003550E"/>
    <w:rsid w:val="00036E11"/>
    <w:rsid w:val="000461CE"/>
    <w:rsid w:val="000473BE"/>
    <w:rsid w:val="0005090A"/>
    <w:rsid w:val="000520FD"/>
    <w:rsid w:val="000578DF"/>
    <w:rsid w:val="00061058"/>
    <w:rsid w:val="000612FE"/>
    <w:rsid w:val="00062CBD"/>
    <w:rsid w:val="00066ECA"/>
    <w:rsid w:val="0006741D"/>
    <w:rsid w:val="00073948"/>
    <w:rsid w:val="00073B0B"/>
    <w:rsid w:val="00073F54"/>
    <w:rsid w:val="0007632A"/>
    <w:rsid w:val="000769F4"/>
    <w:rsid w:val="0008526E"/>
    <w:rsid w:val="00091705"/>
    <w:rsid w:val="0009513C"/>
    <w:rsid w:val="000A39AA"/>
    <w:rsid w:val="000A6E69"/>
    <w:rsid w:val="000B3BED"/>
    <w:rsid w:val="000C08D5"/>
    <w:rsid w:val="000C3363"/>
    <w:rsid w:val="000C670D"/>
    <w:rsid w:val="000C7DD5"/>
    <w:rsid w:val="000D2D10"/>
    <w:rsid w:val="000D3C7A"/>
    <w:rsid w:val="000E3E77"/>
    <w:rsid w:val="000E5F2B"/>
    <w:rsid w:val="000F24E0"/>
    <w:rsid w:val="0010310A"/>
    <w:rsid w:val="001079EC"/>
    <w:rsid w:val="001148B1"/>
    <w:rsid w:val="00125734"/>
    <w:rsid w:val="0012769E"/>
    <w:rsid w:val="00130DE1"/>
    <w:rsid w:val="00132F48"/>
    <w:rsid w:val="001343B6"/>
    <w:rsid w:val="001350C4"/>
    <w:rsid w:val="00141187"/>
    <w:rsid w:val="00141BDD"/>
    <w:rsid w:val="00143473"/>
    <w:rsid w:val="001438A6"/>
    <w:rsid w:val="001441F0"/>
    <w:rsid w:val="0014689A"/>
    <w:rsid w:val="001505EF"/>
    <w:rsid w:val="00150FDE"/>
    <w:rsid w:val="00152292"/>
    <w:rsid w:val="00154B1D"/>
    <w:rsid w:val="001650D0"/>
    <w:rsid w:val="0017156B"/>
    <w:rsid w:val="00183197"/>
    <w:rsid w:val="00183DA8"/>
    <w:rsid w:val="001846FD"/>
    <w:rsid w:val="00187565"/>
    <w:rsid w:val="001918AA"/>
    <w:rsid w:val="0019289F"/>
    <w:rsid w:val="00195ACF"/>
    <w:rsid w:val="001A4601"/>
    <w:rsid w:val="001A633F"/>
    <w:rsid w:val="001B1270"/>
    <w:rsid w:val="001B12A2"/>
    <w:rsid w:val="001B2D80"/>
    <w:rsid w:val="001B332B"/>
    <w:rsid w:val="001B5B8A"/>
    <w:rsid w:val="001B5E09"/>
    <w:rsid w:val="001B6F20"/>
    <w:rsid w:val="001B7565"/>
    <w:rsid w:val="001C0345"/>
    <w:rsid w:val="001C3023"/>
    <w:rsid w:val="001C3808"/>
    <w:rsid w:val="001C50EA"/>
    <w:rsid w:val="001D16B7"/>
    <w:rsid w:val="001D5EBF"/>
    <w:rsid w:val="001D67B5"/>
    <w:rsid w:val="001D7A7E"/>
    <w:rsid w:val="001E595F"/>
    <w:rsid w:val="001E738E"/>
    <w:rsid w:val="001F1D5A"/>
    <w:rsid w:val="001F3048"/>
    <w:rsid w:val="001F3309"/>
    <w:rsid w:val="001F33C2"/>
    <w:rsid w:val="001F4166"/>
    <w:rsid w:val="001F609A"/>
    <w:rsid w:val="00203B76"/>
    <w:rsid w:val="0020495D"/>
    <w:rsid w:val="002118CD"/>
    <w:rsid w:val="00223142"/>
    <w:rsid w:val="00224D36"/>
    <w:rsid w:val="00225878"/>
    <w:rsid w:val="00231E8C"/>
    <w:rsid w:val="002327F2"/>
    <w:rsid w:val="00233DBB"/>
    <w:rsid w:val="002377A9"/>
    <w:rsid w:val="00237AB1"/>
    <w:rsid w:val="002411E0"/>
    <w:rsid w:val="002425F1"/>
    <w:rsid w:val="00247602"/>
    <w:rsid w:val="0025075B"/>
    <w:rsid w:val="00253935"/>
    <w:rsid w:val="00256107"/>
    <w:rsid w:val="002614CA"/>
    <w:rsid w:val="00262315"/>
    <w:rsid w:val="002645C9"/>
    <w:rsid w:val="00265A3F"/>
    <w:rsid w:val="0026643B"/>
    <w:rsid w:val="00273B5F"/>
    <w:rsid w:val="0027400E"/>
    <w:rsid w:val="002779C2"/>
    <w:rsid w:val="00283D9E"/>
    <w:rsid w:val="00285273"/>
    <w:rsid w:val="00290CF9"/>
    <w:rsid w:val="00291317"/>
    <w:rsid w:val="00291ABA"/>
    <w:rsid w:val="002921D9"/>
    <w:rsid w:val="002A1329"/>
    <w:rsid w:val="002A303B"/>
    <w:rsid w:val="002B401C"/>
    <w:rsid w:val="002C1FAF"/>
    <w:rsid w:val="002C6879"/>
    <w:rsid w:val="002C79F0"/>
    <w:rsid w:val="002D04D5"/>
    <w:rsid w:val="002D23C5"/>
    <w:rsid w:val="002D695F"/>
    <w:rsid w:val="002E4AA4"/>
    <w:rsid w:val="002E7651"/>
    <w:rsid w:val="002F012D"/>
    <w:rsid w:val="002F1A48"/>
    <w:rsid w:val="002F2099"/>
    <w:rsid w:val="002F3055"/>
    <w:rsid w:val="002F5321"/>
    <w:rsid w:val="002F6C89"/>
    <w:rsid w:val="003018B6"/>
    <w:rsid w:val="00306AF5"/>
    <w:rsid w:val="00306F9C"/>
    <w:rsid w:val="0031062F"/>
    <w:rsid w:val="00310967"/>
    <w:rsid w:val="00311FEF"/>
    <w:rsid w:val="003155A2"/>
    <w:rsid w:val="003202BA"/>
    <w:rsid w:val="003203DC"/>
    <w:rsid w:val="00322297"/>
    <w:rsid w:val="00325163"/>
    <w:rsid w:val="003261F5"/>
    <w:rsid w:val="00326CE7"/>
    <w:rsid w:val="00332D6C"/>
    <w:rsid w:val="00335A31"/>
    <w:rsid w:val="003373E7"/>
    <w:rsid w:val="00340076"/>
    <w:rsid w:val="003401B9"/>
    <w:rsid w:val="00343941"/>
    <w:rsid w:val="00346F33"/>
    <w:rsid w:val="00351E36"/>
    <w:rsid w:val="00354B47"/>
    <w:rsid w:val="003569F6"/>
    <w:rsid w:val="00360AC0"/>
    <w:rsid w:val="003615F6"/>
    <w:rsid w:val="00365CF5"/>
    <w:rsid w:val="003759B5"/>
    <w:rsid w:val="00375E3A"/>
    <w:rsid w:val="00376A2C"/>
    <w:rsid w:val="00376AC5"/>
    <w:rsid w:val="00377761"/>
    <w:rsid w:val="003822DD"/>
    <w:rsid w:val="00382DC6"/>
    <w:rsid w:val="00383691"/>
    <w:rsid w:val="00386F83"/>
    <w:rsid w:val="00392886"/>
    <w:rsid w:val="00397DC7"/>
    <w:rsid w:val="003A0691"/>
    <w:rsid w:val="003A3CF2"/>
    <w:rsid w:val="003A71CD"/>
    <w:rsid w:val="003A7804"/>
    <w:rsid w:val="003C11D7"/>
    <w:rsid w:val="003C69A5"/>
    <w:rsid w:val="003C756C"/>
    <w:rsid w:val="003D4118"/>
    <w:rsid w:val="003D49D2"/>
    <w:rsid w:val="003D799E"/>
    <w:rsid w:val="003E33B8"/>
    <w:rsid w:val="003F06C6"/>
    <w:rsid w:val="003F0B34"/>
    <w:rsid w:val="003F659F"/>
    <w:rsid w:val="003F6EC5"/>
    <w:rsid w:val="003F7AC5"/>
    <w:rsid w:val="00403297"/>
    <w:rsid w:val="00404F0E"/>
    <w:rsid w:val="004053EF"/>
    <w:rsid w:val="004077CF"/>
    <w:rsid w:val="00407A03"/>
    <w:rsid w:val="00407AB9"/>
    <w:rsid w:val="00411152"/>
    <w:rsid w:val="00411B9C"/>
    <w:rsid w:val="004126E8"/>
    <w:rsid w:val="00412921"/>
    <w:rsid w:val="00412C36"/>
    <w:rsid w:val="00425E51"/>
    <w:rsid w:val="00427021"/>
    <w:rsid w:val="004272DC"/>
    <w:rsid w:val="00437764"/>
    <w:rsid w:val="004424C1"/>
    <w:rsid w:val="00446EA6"/>
    <w:rsid w:val="004528D5"/>
    <w:rsid w:val="00453971"/>
    <w:rsid w:val="00453994"/>
    <w:rsid w:val="004543A3"/>
    <w:rsid w:val="00457027"/>
    <w:rsid w:val="00470BB3"/>
    <w:rsid w:val="004728C7"/>
    <w:rsid w:val="00472BBF"/>
    <w:rsid w:val="00477CB0"/>
    <w:rsid w:val="004811E8"/>
    <w:rsid w:val="00481A3A"/>
    <w:rsid w:val="004828E0"/>
    <w:rsid w:val="00483099"/>
    <w:rsid w:val="004902FF"/>
    <w:rsid w:val="00490999"/>
    <w:rsid w:val="00492D09"/>
    <w:rsid w:val="00494002"/>
    <w:rsid w:val="004A01B7"/>
    <w:rsid w:val="004B58DF"/>
    <w:rsid w:val="004B60A3"/>
    <w:rsid w:val="004C13CC"/>
    <w:rsid w:val="004C317B"/>
    <w:rsid w:val="004C34B2"/>
    <w:rsid w:val="004C4945"/>
    <w:rsid w:val="004C5386"/>
    <w:rsid w:val="004D1ADA"/>
    <w:rsid w:val="004D4529"/>
    <w:rsid w:val="004D6096"/>
    <w:rsid w:val="004D7E0E"/>
    <w:rsid w:val="004E19AD"/>
    <w:rsid w:val="004F195B"/>
    <w:rsid w:val="004F2C19"/>
    <w:rsid w:val="004F6975"/>
    <w:rsid w:val="005038BA"/>
    <w:rsid w:val="00503C72"/>
    <w:rsid w:val="00507421"/>
    <w:rsid w:val="00511739"/>
    <w:rsid w:val="005178CE"/>
    <w:rsid w:val="005212DF"/>
    <w:rsid w:val="00524EF5"/>
    <w:rsid w:val="005276AF"/>
    <w:rsid w:val="00532E80"/>
    <w:rsid w:val="00535290"/>
    <w:rsid w:val="005403E9"/>
    <w:rsid w:val="00543472"/>
    <w:rsid w:val="005440AA"/>
    <w:rsid w:val="00545D09"/>
    <w:rsid w:val="00545FC9"/>
    <w:rsid w:val="00546CDD"/>
    <w:rsid w:val="00550CC7"/>
    <w:rsid w:val="00561938"/>
    <w:rsid w:val="0056401D"/>
    <w:rsid w:val="005659F6"/>
    <w:rsid w:val="005668D0"/>
    <w:rsid w:val="005723BD"/>
    <w:rsid w:val="0057332B"/>
    <w:rsid w:val="00574E9C"/>
    <w:rsid w:val="00574FFF"/>
    <w:rsid w:val="005821BD"/>
    <w:rsid w:val="005821D2"/>
    <w:rsid w:val="00583F2A"/>
    <w:rsid w:val="00584545"/>
    <w:rsid w:val="005851BA"/>
    <w:rsid w:val="0058666E"/>
    <w:rsid w:val="005A56B9"/>
    <w:rsid w:val="005A6264"/>
    <w:rsid w:val="005A68A8"/>
    <w:rsid w:val="005B15CE"/>
    <w:rsid w:val="005B4796"/>
    <w:rsid w:val="005C3053"/>
    <w:rsid w:val="005D2ACC"/>
    <w:rsid w:val="005D522B"/>
    <w:rsid w:val="005E0265"/>
    <w:rsid w:val="005E4DF0"/>
    <w:rsid w:val="005F2590"/>
    <w:rsid w:val="006003E9"/>
    <w:rsid w:val="00600442"/>
    <w:rsid w:val="006012F2"/>
    <w:rsid w:val="00602274"/>
    <w:rsid w:val="006056F6"/>
    <w:rsid w:val="006075CE"/>
    <w:rsid w:val="00607905"/>
    <w:rsid w:val="0061627D"/>
    <w:rsid w:val="006162EE"/>
    <w:rsid w:val="00617319"/>
    <w:rsid w:val="006206BE"/>
    <w:rsid w:val="00620FD3"/>
    <w:rsid w:val="00623996"/>
    <w:rsid w:val="0063020B"/>
    <w:rsid w:val="0063242C"/>
    <w:rsid w:val="00632EBF"/>
    <w:rsid w:val="00634404"/>
    <w:rsid w:val="006361BD"/>
    <w:rsid w:val="006369AE"/>
    <w:rsid w:val="0063769D"/>
    <w:rsid w:val="00637DBB"/>
    <w:rsid w:val="006423E8"/>
    <w:rsid w:val="006439BA"/>
    <w:rsid w:val="006461A1"/>
    <w:rsid w:val="00646B73"/>
    <w:rsid w:val="0065126D"/>
    <w:rsid w:val="00651857"/>
    <w:rsid w:val="00653652"/>
    <w:rsid w:val="006542A2"/>
    <w:rsid w:val="00661819"/>
    <w:rsid w:val="006670AB"/>
    <w:rsid w:val="006672D3"/>
    <w:rsid w:val="00667C7D"/>
    <w:rsid w:val="00670140"/>
    <w:rsid w:val="006708AF"/>
    <w:rsid w:val="006714D3"/>
    <w:rsid w:val="00682E90"/>
    <w:rsid w:val="00684973"/>
    <w:rsid w:val="00692E4D"/>
    <w:rsid w:val="00693672"/>
    <w:rsid w:val="00693AFE"/>
    <w:rsid w:val="006A0B57"/>
    <w:rsid w:val="006A3DA3"/>
    <w:rsid w:val="006A5469"/>
    <w:rsid w:val="006A7D9C"/>
    <w:rsid w:val="006B1C28"/>
    <w:rsid w:val="006B384A"/>
    <w:rsid w:val="006C0448"/>
    <w:rsid w:val="006C4DBB"/>
    <w:rsid w:val="006C6593"/>
    <w:rsid w:val="006C6AFF"/>
    <w:rsid w:val="006C7F7C"/>
    <w:rsid w:val="006D67D5"/>
    <w:rsid w:val="006F1478"/>
    <w:rsid w:val="006F1546"/>
    <w:rsid w:val="006F4578"/>
    <w:rsid w:val="00700985"/>
    <w:rsid w:val="00701331"/>
    <w:rsid w:val="00706C4C"/>
    <w:rsid w:val="0071117C"/>
    <w:rsid w:val="007133C2"/>
    <w:rsid w:val="007179EA"/>
    <w:rsid w:val="00722543"/>
    <w:rsid w:val="007238A9"/>
    <w:rsid w:val="0072403D"/>
    <w:rsid w:val="00726F99"/>
    <w:rsid w:val="007274E4"/>
    <w:rsid w:val="0073230C"/>
    <w:rsid w:val="0073474E"/>
    <w:rsid w:val="00735378"/>
    <w:rsid w:val="007414A5"/>
    <w:rsid w:val="00742BF9"/>
    <w:rsid w:val="00743BB6"/>
    <w:rsid w:val="00746935"/>
    <w:rsid w:val="00746C26"/>
    <w:rsid w:val="00750419"/>
    <w:rsid w:val="00751D94"/>
    <w:rsid w:val="0075499D"/>
    <w:rsid w:val="00755E51"/>
    <w:rsid w:val="007604C9"/>
    <w:rsid w:val="00762709"/>
    <w:rsid w:val="00764BBC"/>
    <w:rsid w:val="00765A09"/>
    <w:rsid w:val="00765A8E"/>
    <w:rsid w:val="00771C4D"/>
    <w:rsid w:val="00775E19"/>
    <w:rsid w:val="00780F77"/>
    <w:rsid w:val="00782FA7"/>
    <w:rsid w:val="007913DB"/>
    <w:rsid w:val="0079196F"/>
    <w:rsid w:val="00794DA1"/>
    <w:rsid w:val="00795C64"/>
    <w:rsid w:val="0079664C"/>
    <w:rsid w:val="007A23F4"/>
    <w:rsid w:val="007A3AF8"/>
    <w:rsid w:val="007A630C"/>
    <w:rsid w:val="007A771C"/>
    <w:rsid w:val="007B2F72"/>
    <w:rsid w:val="007B34DA"/>
    <w:rsid w:val="007B3C5E"/>
    <w:rsid w:val="007B62E9"/>
    <w:rsid w:val="007B7A33"/>
    <w:rsid w:val="007C04A9"/>
    <w:rsid w:val="007C341E"/>
    <w:rsid w:val="007C34A8"/>
    <w:rsid w:val="007C5BDB"/>
    <w:rsid w:val="007C78B1"/>
    <w:rsid w:val="007D0FA2"/>
    <w:rsid w:val="007D334D"/>
    <w:rsid w:val="007D3D2A"/>
    <w:rsid w:val="007D7487"/>
    <w:rsid w:val="007E06D5"/>
    <w:rsid w:val="007F0CC4"/>
    <w:rsid w:val="007F2068"/>
    <w:rsid w:val="007F3825"/>
    <w:rsid w:val="007F76B9"/>
    <w:rsid w:val="00802B69"/>
    <w:rsid w:val="00810C7E"/>
    <w:rsid w:val="0081185B"/>
    <w:rsid w:val="008137D2"/>
    <w:rsid w:val="0081382D"/>
    <w:rsid w:val="00813D78"/>
    <w:rsid w:val="00814111"/>
    <w:rsid w:val="008168C2"/>
    <w:rsid w:val="00823C7C"/>
    <w:rsid w:val="008249A0"/>
    <w:rsid w:val="008253F2"/>
    <w:rsid w:val="00836908"/>
    <w:rsid w:val="00837052"/>
    <w:rsid w:val="0084236C"/>
    <w:rsid w:val="0084288C"/>
    <w:rsid w:val="00847A6E"/>
    <w:rsid w:val="0085058B"/>
    <w:rsid w:val="00851EE0"/>
    <w:rsid w:val="008538CF"/>
    <w:rsid w:val="0085533C"/>
    <w:rsid w:val="00856B59"/>
    <w:rsid w:val="008576D8"/>
    <w:rsid w:val="0086487A"/>
    <w:rsid w:val="008654A9"/>
    <w:rsid w:val="00866A56"/>
    <w:rsid w:val="00866D2C"/>
    <w:rsid w:val="00876349"/>
    <w:rsid w:val="00880F77"/>
    <w:rsid w:val="00881C4F"/>
    <w:rsid w:val="00882198"/>
    <w:rsid w:val="008830AB"/>
    <w:rsid w:val="00883DF9"/>
    <w:rsid w:val="008864B3"/>
    <w:rsid w:val="00886854"/>
    <w:rsid w:val="00890CAF"/>
    <w:rsid w:val="00891385"/>
    <w:rsid w:val="00895803"/>
    <w:rsid w:val="00896AEA"/>
    <w:rsid w:val="008A3503"/>
    <w:rsid w:val="008A3D05"/>
    <w:rsid w:val="008B0AE0"/>
    <w:rsid w:val="008B1314"/>
    <w:rsid w:val="008B2D89"/>
    <w:rsid w:val="008B712F"/>
    <w:rsid w:val="008C1479"/>
    <w:rsid w:val="008C15B9"/>
    <w:rsid w:val="008C2AFC"/>
    <w:rsid w:val="008C46D7"/>
    <w:rsid w:val="008C7C88"/>
    <w:rsid w:val="008D2D2A"/>
    <w:rsid w:val="008D7B29"/>
    <w:rsid w:val="008E06B0"/>
    <w:rsid w:val="008E170F"/>
    <w:rsid w:val="008E1A2D"/>
    <w:rsid w:val="008E1E08"/>
    <w:rsid w:val="008E483D"/>
    <w:rsid w:val="008F01C2"/>
    <w:rsid w:val="008F2344"/>
    <w:rsid w:val="008F3410"/>
    <w:rsid w:val="008F3AA4"/>
    <w:rsid w:val="008F4657"/>
    <w:rsid w:val="00906E6B"/>
    <w:rsid w:val="00907496"/>
    <w:rsid w:val="009074E2"/>
    <w:rsid w:val="009146CB"/>
    <w:rsid w:val="009225FE"/>
    <w:rsid w:val="009251B1"/>
    <w:rsid w:val="00925513"/>
    <w:rsid w:val="00926075"/>
    <w:rsid w:val="00926604"/>
    <w:rsid w:val="00935942"/>
    <w:rsid w:val="00936CF3"/>
    <w:rsid w:val="00943B24"/>
    <w:rsid w:val="0094441B"/>
    <w:rsid w:val="00945C6E"/>
    <w:rsid w:val="0094642C"/>
    <w:rsid w:val="00947B39"/>
    <w:rsid w:val="00951364"/>
    <w:rsid w:val="009513C6"/>
    <w:rsid w:val="00951706"/>
    <w:rsid w:val="00951968"/>
    <w:rsid w:val="00976AFE"/>
    <w:rsid w:val="00977644"/>
    <w:rsid w:val="009815E6"/>
    <w:rsid w:val="00981BB5"/>
    <w:rsid w:val="00984381"/>
    <w:rsid w:val="00985C8D"/>
    <w:rsid w:val="00990C59"/>
    <w:rsid w:val="0099160B"/>
    <w:rsid w:val="00992451"/>
    <w:rsid w:val="0099534D"/>
    <w:rsid w:val="00995860"/>
    <w:rsid w:val="009A2F7E"/>
    <w:rsid w:val="009A7004"/>
    <w:rsid w:val="009B222D"/>
    <w:rsid w:val="009B2CE2"/>
    <w:rsid w:val="009B3058"/>
    <w:rsid w:val="009B30A3"/>
    <w:rsid w:val="009B4F98"/>
    <w:rsid w:val="009B6A7E"/>
    <w:rsid w:val="009C642E"/>
    <w:rsid w:val="009D65C6"/>
    <w:rsid w:val="009D7117"/>
    <w:rsid w:val="009E10E8"/>
    <w:rsid w:val="009E1129"/>
    <w:rsid w:val="009E63C2"/>
    <w:rsid w:val="009E68FC"/>
    <w:rsid w:val="009F018A"/>
    <w:rsid w:val="009F246F"/>
    <w:rsid w:val="009F2568"/>
    <w:rsid w:val="009F2755"/>
    <w:rsid w:val="009F5684"/>
    <w:rsid w:val="009F6048"/>
    <w:rsid w:val="00A03D6E"/>
    <w:rsid w:val="00A0436E"/>
    <w:rsid w:val="00A0705B"/>
    <w:rsid w:val="00A07F3F"/>
    <w:rsid w:val="00A11651"/>
    <w:rsid w:val="00A21556"/>
    <w:rsid w:val="00A218C8"/>
    <w:rsid w:val="00A21A7F"/>
    <w:rsid w:val="00A22826"/>
    <w:rsid w:val="00A25D69"/>
    <w:rsid w:val="00A26885"/>
    <w:rsid w:val="00A2713C"/>
    <w:rsid w:val="00A34189"/>
    <w:rsid w:val="00A4097F"/>
    <w:rsid w:val="00A41168"/>
    <w:rsid w:val="00A41239"/>
    <w:rsid w:val="00A41932"/>
    <w:rsid w:val="00A41FAB"/>
    <w:rsid w:val="00A42233"/>
    <w:rsid w:val="00A42D7B"/>
    <w:rsid w:val="00A47B4A"/>
    <w:rsid w:val="00A553C7"/>
    <w:rsid w:val="00A55AFC"/>
    <w:rsid w:val="00A579D9"/>
    <w:rsid w:val="00A6323D"/>
    <w:rsid w:val="00A63E3A"/>
    <w:rsid w:val="00A6703F"/>
    <w:rsid w:val="00A777AB"/>
    <w:rsid w:val="00A825A8"/>
    <w:rsid w:val="00A8294A"/>
    <w:rsid w:val="00A87941"/>
    <w:rsid w:val="00A901F7"/>
    <w:rsid w:val="00A90B37"/>
    <w:rsid w:val="00A935CC"/>
    <w:rsid w:val="00A95A41"/>
    <w:rsid w:val="00A970E6"/>
    <w:rsid w:val="00A97941"/>
    <w:rsid w:val="00AA0C40"/>
    <w:rsid w:val="00AA22E4"/>
    <w:rsid w:val="00AA6A36"/>
    <w:rsid w:val="00AB34EF"/>
    <w:rsid w:val="00AB57C2"/>
    <w:rsid w:val="00AB7571"/>
    <w:rsid w:val="00AC0AA7"/>
    <w:rsid w:val="00AC5F13"/>
    <w:rsid w:val="00AD3E49"/>
    <w:rsid w:val="00AD734D"/>
    <w:rsid w:val="00AE0E37"/>
    <w:rsid w:val="00AE2505"/>
    <w:rsid w:val="00AE37D0"/>
    <w:rsid w:val="00AE6EEC"/>
    <w:rsid w:val="00AE78C8"/>
    <w:rsid w:val="00AF0367"/>
    <w:rsid w:val="00AF7710"/>
    <w:rsid w:val="00B0187F"/>
    <w:rsid w:val="00B03C10"/>
    <w:rsid w:val="00B07758"/>
    <w:rsid w:val="00B10FB4"/>
    <w:rsid w:val="00B16533"/>
    <w:rsid w:val="00B2082D"/>
    <w:rsid w:val="00B2472E"/>
    <w:rsid w:val="00B26EA6"/>
    <w:rsid w:val="00B27BB7"/>
    <w:rsid w:val="00B31D89"/>
    <w:rsid w:val="00B3483F"/>
    <w:rsid w:val="00B40AE4"/>
    <w:rsid w:val="00B4152D"/>
    <w:rsid w:val="00B41FF5"/>
    <w:rsid w:val="00B513B1"/>
    <w:rsid w:val="00B515AB"/>
    <w:rsid w:val="00B55C50"/>
    <w:rsid w:val="00B56917"/>
    <w:rsid w:val="00B6057B"/>
    <w:rsid w:val="00B612A8"/>
    <w:rsid w:val="00B62B3C"/>
    <w:rsid w:val="00B63B3C"/>
    <w:rsid w:val="00B71C27"/>
    <w:rsid w:val="00B72D96"/>
    <w:rsid w:val="00B7364D"/>
    <w:rsid w:val="00B75382"/>
    <w:rsid w:val="00B75612"/>
    <w:rsid w:val="00B8040E"/>
    <w:rsid w:val="00B81C23"/>
    <w:rsid w:val="00B8294D"/>
    <w:rsid w:val="00B934A0"/>
    <w:rsid w:val="00B9499B"/>
    <w:rsid w:val="00B96037"/>
    <w:rsid w:val="00BA1284"/>
    <w:rsid w:val="00BA7F31"/>
    <w:rsid w:val="00BB4120"/>
    <w:rsid w:val="00BB4AE1"/>
    <w:rsid w:val="00BB69DA"/>
    <w:rsid w:val="00BC0271"/>
    <w:rsid w:val="00BC1A25"/>
    <w:rsid w:val="00BD0475"/>
    <w:rsid w:val="00BD1F85"/>
    <w:rsid w:val="00BD523A"/>
    <w:rsid w:val="00BD72DF"/>
    <w:rsid w:val="00BE1A12"/>
    <w:rsid w:val="00BE1CEE"/>
    <w:rsid w:val="00BE1E28"/>
    <w:rsid w:val="00BE3306"/>
    <w:rsid w:val="00BE4F23"/>
    <w:rsid w:val="00BF0901"/>
    <w:rsid w:val="00BF3C52"/>
    <w:rsid w:val="00BF566C"/>
    <w:rsid w:val="00BF7389"/>
    <w:rsid w:val="00C02F66"/>
    <w:rsid w:val="00C04660"/>
    <w:rsid w:val="00C055DF"/>
    <w:rsid w:val="00C14F72"/>
    <w:rsid w:val="00C163E4"/>
    <w:rsid w:val="00C2257C"/>
    <w:rsid w:val="00C32AE3"/>
    <w:rsid w:val="00C3630A"/>
    <w:rsid w:val="00C369B6"/>
    <w:rsid w:val="00C37212"/>
    <w:rsid w:val="00C44001"/>
    <w:rsid w:val="00C45348"/>
    <w:rsid w:val="00C46369"/>
    <w:rsid w:val="00C4770F"/>
    <w:rsid w:val="00C50633"/>
    <w:rsid w:val="00C5299A"/>
    <w:rsid w:val="00C537D8"/>
    <w:rsid w:val="00C56BAD"/>
    <w:rsid w:val="00C642C0"/>
    <w:rsid w:val="00C6616C"/>
    <w:rsid w:val="00C67CFF"/>
    <w:rsid w:val="00C71194"/>
    <w:rsid w:val="00C71550"/>
    <w:rsid w:val="00C71B91"/>
    <w:rsid w:val="00C721AE"/>
    <w:rsid w:val="00C7295D"/>
    <w:rsid w:val="00C732C4"/>
    <w:rsid w:val="00C74FEC"/>
    <w:rsid w:val="00C8007F"/>
    <w:rsid w:val="00C80888"/>
    <w:rsid w:val="00C91FF7"/>
    <w:rsid w:val="00C92C64"/>
    <w:rsid w:val="00C93467"/>
    <w:rsid w:val="00C93C59"/>
    <w:rsid w:val="00C94295"/>
    <w:rsid w:val="00C952E8"/>
    <w:rsid w:val="00C95FCC"/>
    <w:rsid w:val="00CA1E81"/>
    <w:rsid w:val="00CA374A"/>
    <w:rsid w:val="00CB105A"/>
    <w:rsid w:val="00CB2A32"/>
    <w:rsid w:val="00CB6C06"/>
    <w:rsid w:val="00CB7142"/>
    <w:rsid w:val="00CC115A"/>
    <w:rsid w:val="00CC3831"/>
    <w:rsid w:val="00CC4582"/>
    <w:rsid w:val="00CD4DCD"/>
    <w:rsid w:val="00CD649E"/>
    <w:rsid w:val="00CE13C8"/>
    <w:rsid w:val="00CE26D8"/>
    <w:rsid w:val="00CE326A"/>
    <w:rsid w:val="00CE3F16"/>
    <w:rsid w:val="00CE4B72"/>
    <w:rsid w:val="00CF28C1"/>
    <w:rsid w:val="00CF2C83"/>
    <w:rsid w:val="00CF3424"/>
    <w:rsid w:val="00CF526F"/>
    <w:rsid w:val="00D032FD"/>
    <w:rsid w:val="00D1011E"/>
    <w:rsid w:val="00D12E53"/>
    <w:rsid w:val="00D152FF"/>
    <w:rsid w:val="00D16EDC"/>
    <w:rsid w:val="00D21E92"/>
    <w:rsid w:val="00D221DD"/>
    <w:rsid w:val="00D22EA5"/>
    <w:rsid w:val="00D257B6"/>
    <w:rsid w:val="00D26271"/>
    <w:rsid w:val="00D27E5D"/>
    <w:rsid w:val="00D31840"/>
    <w:rsid w:val="00D41A23"/>
    <w:rsid w:val="00D41B40"/>
    <w:rsid w:val="00D42AA8"/>
    <w:rsid w:val="00D435AF"/>
    <w:rsid w:val="00D50FB4"/>
    <w:rsid w:val="00D52C0B"/>
    <w:rsid w:val="00D52CF6"/>
    <w:rsid w:val="00D5612E"/>
    <w:rsid w:val="00D6566C"/>
    <w:rsid w:val="00D656A8"/>
    <w:rsid w:val="00D66352"/>
    <w:rsid w:val="00D67E51"/>
    <w:rsid w:val="00D67E8A"/>
    <w:rsid w:val="00D70450"/>
    <w:rsid w:val="00D71527"/>
    <w:rsid w:val="00D7156E"/>
    <w:rsid w:val="00D7185F"/>
    <w:rsid w:val="00D74812"/>
    <w:rsid w:val="00D753AC"/>
    <w:rsid w:val="00D767DA"/>
    <w:rsid w:val="00D830F7"/>
    <w:rsid w:val="00D8547E"/>
    <w:rsid w:val="00D85B6E"/>
    <w:rsid w:val="00D86D36"/>
    <w:rsid w:val="00D90A73"/>
    <w:rsid w:val="00D90BA6"/>
    <w:rsid w:val="00D9170C"/>
    <w:rsid w:val="00D9249E"/>
    <w:rsid w:val="00D94A3D"/>
    <w:rsid w:val="00D9729A"/>
    <w:rsid w:val="00DA2C23"/>
    <w:rsid w:val="00DB0BD2"/>
    <w:rsid w:val="00DB176C"/>
    <w:rsid w:val="00DB4E40"/>
    <w:rsid w:val="00DB6352"/>
    <w:rsid w:val="00DC1E6D"/>
    <w:rsid w:val="00DC4521"/>
    <w:rsid w:val="00DC72DE"/>
    <w:rsid w:val="00DC75AE"/>
    <w:rsid w:val="00DD62AE"/>
    <w:rsid w:val="00DD62FE"/>
    <w:rsid w:val="00DE1E8C"/>
    <w:rsid w:val="00DE2076"/>
    <w:rsid w:val="00DE3F22"/>
    <w:rsid w:val="00DE4A69"/>
    <w:rsid w:val="00DE508A"/>
    <w:rsid w:val="00DF3525"/>
    <w:rsid w:val="00E011BD"/>
    <w:rsid w:val="00E01E63"/>
    <w:rsid w:val="00E05906"/>
    <w:rsid w:val="00E07594"/>
    <w:rsid w:val="00E22FB8"/>
    <w:rsid w:val="00E3160F"/>
    <w:rsid w:val="00E36259"/>
    <w:rsid w:val="00E37EE9"/>
    <w:rsid w:val="00E40888"/>
    <w:rsid w:val="00E4096A"/>
    <w:rsid w:val="00E409A1"/>
    <w:rsid w:val="00E428ED"/>
    <w:rsid w:val="00E435F6"/>
    <w:rsid w:val="00E50E27"/>
    <w:rsid w:val="00E53A28"/>
    <w:rsid w:val="00E54CE7"/>
    <w:rsid w:val="00E57E39"/>
    <w:rsid w:val="00E66889"/>
    <w:rsid w:val="00E67C29"/>
    <w:rsid w:val="00E72484"/>
    <w:rsid w:val="00E813BD"/>
    <w:rsid w:val="00E847DE"/>
    <w:rsid w:val="00E93A1B"/>
    <w:rsid w:val="00EA3C58"/>
    <w:rsid w:val="00EA4AE9"/>
    <w:rsid w:val="00EA74B4"/>
    <w:rsid w:val="00EB07C6"/>
    <w:rsid w:val="00EB09F6"/>
    <w:rsid w:val="00EB2AAA"/>
    <w:rsid w:val="00EC1587"/>
    <w:rsid w:val="00EC182F"/>
    <w:rsid w:val="00EC2881"/>
    <w:rsid w:val="00EC50E1"/>
    <w:rsid w:val="00EC66FB"/>
    <w:rsid w:val="00ED3871"/>
    <w:rsid w:val="00EE5D5A"/>
    <w:rsid w:val="00EE5E71"/>
    <w:rsid w:val="00EE7A62"/>
    <w:rsid w:val="00EF288E"/>
    <w:rsid w:val="00EF44C9"/>
    <w:rsid w:val="00EF4DDD"/>
    <w:rsid w:val="00F01610"/>
    <w:rsid w:val="00F018A5"/>
    <w:rsid w:val="00F0389E"/>
    <w:rsid w:val="00F03CCA"/>
    <w:rsid w:val="00F04B41"/>
    <w:rsid w:val="00F0516C"/>
    <w:rsid w:val="00F06074"/>
    <w:rsid w:val="00F061E3"/>
    <w:rsid w:val="00F061E4"/>
    <w:rsid w:val="00F128E3"/>
    <w:rsid w:val="00F13249"/>
    <w:rsid w:val="00F1732F"/>
    <w:rsid w:val="00F236F1"/>
    <w:rsid w:val="00F2405A"/>
    <w:rsid w:val="00F249FC"/>
    <w:rsid w:val="00F24BC7"/>
    <w:rsid w:val="00F26A4B"/>
    <w:rsid w:val="00F302B6"/>
    <w:rsid w:val="00F3042B"/>
    <w:rsid w:val="00F330E7"/>
    <w:rsid w:val="00F33686"/>
    <w:rsid w:val="00F337A5"/>
    <w:rsid w:val="00F34672"/>
    <w:rsid w:val="00F355E3"/>
    <w:rsid w:val="00F355EC"/>
    <w:rsid w:val="00F41937"/>
    <w:rsid w:val="00F42FE4"/>
    <w:rsid w:val="00F455C4"/>
    <w:rsid w:val="00F46949"/>
    <w:rsid w:val="00F47BC2"/>
    <w:rsid w:val="00F52748"/>
    <w:rsid w:val="00F53CAC"/>
    <w:rsid w:val="00F60265"/>
    <w:rsid w:val="00F634BB"/>
    <w:rsid w:val="00F65FD3"/>
    <w:rsid w:val="00F74BE7"/>
    <w:rsid w:val="00F750FF"/>
    <w:rsid w:val="00F80267"/>
    <w:rsid w:val="00F90552"/>
    <w:rsid w:val="00F907BC"/>
    <w:rsid w:val="00F95591"/>
    <w:rsid w:val="00F95D27"/>
    <w:rsid w:val="00F965CF"/>
    <w:rsid w:val="00F96ECE"/>
    <w:rsid w:val="00FA50CF"/>
    <w:rsid w:val="00FA71A6"/>
    <w:rsid w:val="00FA7870"/>
    <w:rsid w:val="00FA7D25"/>
    <w:rsid w:val="00FB134F"/>
    <w:rsid w:val="00FB5624"/>
    <w:rsid w:val="00FB6C6C"/>
    <w:rsid w:val="00FB7F6F"/>
    <w:rsid w:val="00FC0896"/>
    <w:rsid w:val="00FC1CE9"/>
    <w:rsid w:val="00FC54BD"/>
    <w:rsid w:val="00FC76EB"/>
    <w:rsid w:val="00FD2441"/>
    <w:rsid w:val="00FD297B"/>
    <w:rsid w:val="00FD2EC7"/>
    <w:rsid w:val="00FD4E54"/>
    <w:rsid w:val="00FD570D"/>
    <w:rsid w:val="00FD6768"/>
    <w:rsid w:val="00FD6E03"/>
    <w:rsid w:val="00FD7AFE"/>
    <w:rsid w:val="00FE058D"/>
    <w:rsid w:val="00FE310D"/>
    <w:rsid w:val="00FE6E50"/>
    <w:rsid w:val="00FE7530"/>
    <w:rsid w:val="00FE7C7C"/>
    <w:rsid w:val="00FE7D51"/>
    <w:rsid w:val="00FF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8FB5"/>
  <w15:docId w15:val="{BF84F813-3BBB-42E9-8DB8-F6F902B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2344"/>
    <w:rPr>
      <w:rFonts w:ascii="Calibri" w:hAnsi="Calibri"/>
      <w:szCs w:val="21"/>
    </w:rPr>
  </w:style>
  <w:style w:type="character" w:customStyle="1" w:styleId="PlainTextChar">
    <w:name w:val="Plain Text Char"/>
    <w:basedOn w:val="DefaultParagraphFont"/>
    <w:link w:val="PlainText"/>
    <w:uiPriority w:val="99"/>
    <w:rsid w:val="008F2344"/>
    <w:rPr>
      <w:rFonts w:ascii="Calibri" w:hAnsi="Calibri"/>
      <w:szCs w:val="21"/>
    </w:rPr>
  </w:style>
  <w:style w:type="paragraph" w:styleId="Header">
    <w:name w:val="header"/>
    <w:basedOn w:val="Normal"/>
    <w:link w:val="HeaderChar"/>
    <w:uiPriority w:val="99"/>
    <w:unhideWhenUsed/>
    <w:rsid w:val="008F2344"/>
    <w:pPr>
      <w:tabs>
        <w:tab w:val="center" w:pos="4513"/>
        <w:tab w:val="right" w:pos="9026"/>
      </w:tabs>
    </w:pPr>
  </w:style>
  <w:style w:type="character" w:customStyle="1" w:styleId="HeaderChar">
    <w:name w:val="Header Char"/>
    <w:basedOn w:val="DefaultParagraphFont"/>
    <w:link w:val="Header"/>
    <w:uiPriority w:val="99"/>
    <w:rsid w:val="008F2344"/>
  </w:style>
  <w:style w:type="paragraph" w:styleId="ListParagraph">
    <w:name w:val="List Paragraph"/>
    <w:basedOn w:val="Normal"/>
    <w:uiPriority w:val="1"/>
    <w:qFormat/>
    <w:rsid w:val="008F2344"/>
    <w:pPr>
      <w:ind w:left="720"/>
      <w:contextualSpacing/>
    </w:pPr>
  </w:style>
  <w:style w:type="character" w:styleId="Hyperlink">
    <w:name w:val="Hyperlink"/>
    <w:uiPriority w:val="99"/>
    <w:rsid w:val="00C952E8"/>
    <w:rPr>
      <w:color w:val="0000FF"/>
      <w:u w:val="single"/>
    </w:rPr>
  </w:style>
  <w:style w:type="table" w:styleId="TableGrid">
    <w:name w:val="Table Grid"/>
    <w:basedOn w:val="TableNormal"/>
    <w:uiPriority w:val="59"/>
    <w:rsid w:val="00F6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5FD3"/>
    <w:pPr>
      <w:tabs>
        <w:tab w:val="center" w:pos="4513"/>
        <w:tab w:val="right" w:pos="9026"/>
      </w:tabs>
    </w:pPr>
  </w:style>
  <w:style w:type="character" w:customStyle="1" w:styleId="FooterChar">
    <w:name w:val="Footer Char"/>
    <w:basedOn w:val="DefaultParagraphFont"/>
    <w:link w:val="Footer"/>
    <w:uiPriority w:val="99"/>
    <w:rsid w:val="00F65FD3"/>
  </w:style>
  <w:style w:type="paragraph" w:customStyle="1" w:styleId="Default">
    <w:name w:val="Default"/>
    <w:rsid w:val="00CC383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73B5F"/>
    <w:rPr>
      <w:sz w:val="16"/>
      <w:szCs w:val="16"/>
    </w:rPr>
  </w:style>
  <w:style w:type="paragraph" w:styleId="CommentText">
    <w:name w:val="annotation text"/>
    <w:basedOn w:val="Normal"/>
    <w:link w:val="CommentTextChar"/>
    <w:uiPriority w:val="99"/>
    <w:semiHidden/>
    <w:unhideWhenUsed/>
    <w:rsid w:val="00273B5F"/>
    <w:rPr>
      <w:sz w:val="20"/>
      <w:szCs w:val="20"/>
    </w:rPr>
  </w:style>
  <w:style w:type="character" w:customStyle="1" w:styleId="CommentTextChar">
    <w:name w:val="Comment Text Char"/>
    <w:basedOn w:val="DefaultParagraphFont"/>
    <w:link w:val="CommentText"/>
    <w:uiPriority w:val="99"/>
    <w:semiHidden/>
    <w:rsid w:val="00273B5F"/>
    <w:rPr>
      <w:sz w:val="20"/>
      <w:szCs w:val="20"/>
    </w:rPr>
  </w:style>
  <w:style w:type="paragraph" w:styleId="CommentSubject">
    <w:name w:val="annotation subject"/>
    <w:basedOn w:val="CommentText"/>
    <w:next w:val="CommentText"/>
    <w:link w:val="CommentSubjectChar"/>
    <w:uiPriority w:val="99"/>
    <w:semiHidden/>
    <w:unhideWhenUsed/>
    <w:rsid w:val="00273B5F"/>
    <w:rPr>
      <w:b/>
      <w:bCs/>
    </w:rPr>
  </w:style>
  <w:style w:type="character" w:customStyle="1" w:styleId="CommentSubjectChar">
    <w:name w:val="Comment Subject Char"/>
    <w:basedOn w:val="CommentTextChar"/>
    <w:link w:val="CommentSubject"/>
    <w:uiPriority w:val="99"/>
    <w:semiHidden/>
    <w:rsid w:val="00273B5F"/>
    <w:rPr>
      <w:b/>
      <w:bCs/>
      <w:sz w:val="20"/>
      <w:szCs w:val="20"/>
    </w:rPr>
  </w:style>
  <w:style w:type="paragraph" w:styleId="BalloonText">
    <w:name w:val="Balloon Text"/>
    <w:basedOn w:val="Normal"/>
    <w:link w:val="BalloonTextChar"/>
    <w:uiPriority w:val="99"/>
    <w:semiHidden/>
    <w:unhideWhenUsed/>
    <w:rsid w:val="00273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5F"/>
    <w:rPr>
      <w:rFonts w:ascii="Segoe UI" w:hAnsi="Segoe UI" w:cs="Segoe UI"/>
      <w:sz w:val="18"/>
      <w:szCs w:val="18"/>
    </w:rPr>
  </w:style>
  <w:style w:type="paragraph" w:styleId="BodyText">
    <w:name w:val="Body Text"/>
    <w:basedOn w:val="Normal"/>
    <w:link w:val="BodyTextChar"/>
    <w:uiPriority w:val="1"/>
    <w:qFormat/>
    <w:rsid w:val="00F95D27"/>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F95D27"/>
    <w:rPr>
      <w:rFonts w:ascii="Arial" w:eastAsia="Arial" w:hAnsi="Arial" w:cs="Arial"/>
      <w:sz w:val="21"/>
      <w:szCs w:val="21"/>
      <w:lang w:val="en-US"/>
    </w:rPr>
  </w:style>
  <w:style w:type="table" w:styleId="TableGridLight">
    <w:name w:val="Grid Table Light"/>
    <w:basedOn w:val="TableNormal"/>
    <w:uiPriority w:val="40"/>
    <w:rsid w:val="009225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34189"/>
    <w:rPr>
      <w:color w:val="954F72" w:themeColor="followedHyperlink"/>
      <w:u w:val="single"/>
    </w:rPr>
  </w:style>
  <w:style w:type="character" w:styleId="UnresolvedMention">
    <w:name w:val="Unresolved Mention"/>
    <w:basedOn w:val="DefaultParagraphFont"/>
    <w:uiPriority w:val="99"/>
    <w:semiHidden/>
    <w:unhideWhenUsed/>
    <w:rsid w:val="00D6566C"/>
    <w:rPr>
      <w:color w:val="605E5C"/>
      <w:shd w:val="clear" w:color="auto" w:fill="E1DFDD"/>
    </w:rPr>
  </w:style>
  <w:style w:type="paragraph" w:styleId="Revision">
    <w:name w:val="Revision"/>
    <w:hidden/>
    <w:uiPriority w:val="99"/>
    <w:semiHidden/>
    <w:rsid w:val="006A7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32">
      <w:bodyDiv w:val="1"/>
      <w:marLeft w:val="0"/>
      <w:marRight w:val="0"/>
      <w:marTop w:val="0"/>
      <w:marBottom w:val="0"/>
      <w:divBdr>
        <w:top w:val="none" w:sz="0" w:space="0" w:color="auto"/>
        <w:left w:val="none" w:sz="0" w:space="0" w:color="auto"/>
        <w:bottom w:val="none" w:sz="0" w:space="0" w:color="auto"/>
        <w:right w:val="none" w:sz="0" w:space="0" w:color="auto"/>
      </w:divBdr>
    </w:div>
    <w:div w:id="47608593">
      <w:bodyDiv w:val="1"/>
      <w:marLeft w:val="0"/>
      <w:marRight w:val="0"/>
      <w:marTop w:val="0"/>
      <w:marBottom w:val="0"/>
      <w:divBdr>
        <w:top w:val="none" w:sz="0" w:space="0" w:color="auto"/>
        <w:left w:val="none" w:sz="0" w:space="0" w:color="auto"/>
        <w:bottom w:val="none" w:sz="0" w:space="0" w:color="auto"/>
        <w:right w:val="none" w:sz="0" w:space="0" w:color="auto"/>
      </w:divBdr>
    </w:div>
    <w:div w:id="56980876">
      <w:bodyDiv w:val="1"/>
      <w:marLeft w:val="0"/>
      <w:marRight w:val="0"/>
      <w:marTop w:val="0"/>
      <w:marBottom w:val="0"/>
      <w:divBdr>
        <w:top w:val="none" w:sz="0" w:space="0" w:color="auto"/>
        <w:left w:val="none" w:sz="0" w:space="0" w:color="auto"/>
        <w:bottom w:val="none" w:sz="0" w:space="0" w:color="auto"/>
        <w:right w:val="none" w:sz="0" w:space="0" w:color="auto"/>
      </w:divBdr>
    </w:div>
    <w:div w:id="70977588">
      <w:bodyDiv w:val="1"/>
      <w:marLeft w:val="0"/>
      <w:marRight w:val="0"/>
      <w:marTop w:val="0"/>
      <w:marBottom w:val="0"/>
      <w:divBdr>
        <w:top w:val="none" w:sz="0" w:space="0" w:color="auto"/>
        <w:left w:val="none" w:sz="0" w:space="0" w:color="auto"/>
        <w:bottom w:val="none" w:sz="0" w:space="0" w:color="auto"/>
        <w:right w:val="none" w:sz="0" w:space="0" w:color="auto"/>
      </w:divBdr>
    </w:div>
    <w:div w:id="76169288">
      <w:bodyDiv w:val="1"/>
      <w:marLeft w:val="0"/>
      <w:marRight w:val="0"/>
      <w:marTop w:val="0"/>
      <w:marBottom w:val="0"/>
      <w:divBdr>
        <w:top w:val="none" w:sz="0" w:space="0" w:color="auto"/>
        <w:left w:val="none" w:sz="0" w:space="0" w:color="auto"/>
        <w:bottom w:val="none" w:sz="0" w:space="0" w:color="auto"/>
        <w:right w:val="none" w:sz="0" w:space="0" w:color="auto"/>
      </w:divBdr>
    </w:div>
    <w:div w:id="93138583">
      <w:bodyDiv w:val="1"/>
      <w:marLeft w:val="0"/>
      <w:marRight w:val="0"/>
      <w:marTop w:val="0"/>
      <w:marBottom w:val="0"/>
      <w:divBdr>
        <w:top w:val="none" w:sz="0" w:space="0" w:color="auto"/>
        <w:left w:val="none" w:sz="0" w:space="0" w:color="auto"/>
        <w:bottom w:val="none" w:sz="0" w:space="0" w:color="auto"/>
        <w:right w:val="none" w:sz="0" w:space="0" w:color="auto"/>
      </w:divBdr>
    </w:div>
    <w:div w:id="102382328">
      <w:bodyDiv w:val="1"/>
      <w:marLeft w:val="0"/>
      <w:marRight w:val="0"/>
      <w:marTop w:val="0"/>
      <w:marBottom w:val="0"/>
      <w:divBdr>
        <w:top w:val="none" w:sz="0" w:space="0" w:color="auto"/>
        <w:left w:val="none" w:sz="0" w:space="0" w:color="auto"/>
        <w:bottom w:val="none" w:sz="0" w:space="0" w:color="auto"/>
        <w:right w:val="none" w:sz="0" w:space="0" w:color="auto"/>
      </w:divBdr>
    </w:div>
    <w:div w:id="115297675">
      <w:bodyDiv w:val="1"/>
      <w:marLeft w:val="0"/>
      <w:marRight w:val="0"/>
      <w:marTop w:val="0"/>
      <w:marBottom w:val="0"/>
      <w:divBdr>
        <w:top w:val="none" w:sz="0" w:space="0" w:color="auto"/>
        <w:left w:val="none" w:sz="0" w:space="0" w:color="auto"/>
        <w:bottom w:val="none" w:sz="0" w:space="0" w:color="auto"/>
        <w:right w:val="none" w:sz="0" w:space="0" w:color="auto"/>
      </w:divBdr>
    </w:div>
    <w:div w:id="119997527">
      <w:bodyDiv w:val="1"/>
      <w:marLeft w:val="0"/>
      <w:marRight w:val="0"/>
      <w:marTop w:val="0"/>
      <w:marBottom w:val="0"/>
      <w:divBdr>
        <w:top w:val="none" w:sz="0" w:space="0" w:color="auto"/>
        <w:left w:val="none" w:sz="0" w:space="0" w:color="auto"/>
        <w:bottom w:val="none" w:sz="0" w:space="0" w:color="auto"/>
        <w:right w:val="none" w:sz="0" w:space="0" w:color="auto"/>
      </w:divBdr>
    </w:div>
    <w:div w:id="130363720">
      <w:bodyDiv w:val="1"/>
      <w:marLeft w:val="0"/>
      <w:marRight w:val="0"/>
      <w:marTop w:val="0"/>
      <w:marBottom w:val="0"/>
      <w:divBdr>
        <w:top w:val="none" w:sz="0" w:space="0" w:color="auto"/>
        <w:left w:val="none" w:sz="0" w:space="0" w:color="auto"/>
        <w:bottom w:val="none" w:sz="0" w:space="0" w:color="auto"/>
        <w:right w:val="none" w:sz="0" w:space="0" w:color="auto"/>
      </w:divBdr>
    </w:div>
    <w:div w:id="130833654">
      <w:bodyDiv w:val="1"/>
      <w:marLeft w:val="0"/>
      <w:marRight w:val="0"/>
      <w:marTop w:val="0"/>
      <w:marBottom w:val="0"/>
      <w:divBdr>
        <w:top w:val="none" w:sz="0" w:space="0" w:color="auto"/>
        <w:left w:val="none" w:sz="0" w:space="0" w:color="auto"/>
        <w:bottom w:val="none" w:sz="0" w:space="0" w:color="auto"/>
        <w:right w:val="none" w:sz="0" w:space="0" w:color="auto"/>
      </w:divBdr>
    </w:div>
    <w:div w:id="161819269">
      <w:bodyDiv w:val="1"/>
      <w:marLeft w:val="0"/>
      <w:marRight w:val="0"/>
      <w:marTop w:val="0"/>
      <w:marBottom w:val="0"/>
      <w:divBdr>
        <w:top w:val="none" w:sz="0" w:space="0" w:color="auto"/>
        <w:left w:val="none" w:sz="0" w:space="0" w:color="auto"/>
        <w:bottom w:val="none" w:sz="0" w:space="0" w:color="auto"/>
        <w:right w:val="none" w:sz="0" w:space="0" w:color="auto"/>
      </w:divBdr>
    </w:div>
    <w:div w:id="162937872">
      <w:bodyDiv w:val="1"/>
      <w:marLeft w:val="0"/>
      <w:marRight w:val="0"/>
      <w:marTop w:val="0"/>
      <w:marBottom w:val="0"/>
      <w:divBdr>
        <w:top w:val="none" w:sz="0" w:space="0" w:color="auto"/>
        <w:left w:val="none" w:sz="0" w:space="0" w:color="auto"/>
        <w:bottom w:val="none" w:sz="0" w:space="0" w:color="auto"/>
        <w:right w:val="none" w:sz="0" w:space="0" w:color="auto"/>
      </w:divBdr>
    </w:div>
    <w:div w:id="194663683">
      <w:bodyDiv w:val="1"/>
      <w:marLeft w:val="0"/>
      <w:marRight w:val="0"/>
      <w:marTop w:val="0"/>
      <w:marBottom w:val="0"/>
      <w:divBdr>
        <w:top w:val="none" w:sz="0" w:space="0" w:color="auto"/>
        <w:left w:val="none" w:sz="0" w:space="0" w:color="auto"/>
        <w:bottom w:val="none" w:sz="0" w:space="0" w:color="auto"/>
        <w:right w:val="none" w:sz="0" w:space="0" w:color="auto"/>
      </w:divBdr>
    </w:div>
    <w:div w:id="197669570">
      <w:bodyDiv w:val="1"/>
      <w:marLeft w:val="0"/>
      <w:marRight w:val="0"/>
      <w:marTop w:val="0"/>
      <w:marBottom w:val="0"/>
      <w:divBdr>
        <w:top w:val="none" w:sz="0" w:space="0" w:color="auto"/>
        <w:left w:val="none" w:sz="0" w:space="0" w:color="auto"/>
        <w:bottom w:val="none" w:sz="0" w:space="0" w:color="auto"/>
        <w:right w:val="none" w:sz="0" w:space="0" w:color="auto"/>
      </w:divBdr>
    </w:div>
    <w:div w:id="243418843">
      <w:bodyDiv w:val="1"/>
      <w:marLeft w:val="0"/>
      <w:marRight w:val="0"/>
      <w:marTop w:val="0"/>
      <w:marBottom w:val="0"/>
      <w:divBdr>
        <w:top w:val="none" w:sz="0" w:space="0" w:color="auto"/>
        <w:left w:val="none" w:sz="0" w:space="0" w:color="auto"/>
        <w:bottom w:val="none" w:sz="0" w:space="0" w:color="auto"/>
        <w:right w:val="none" w:sz="0" w:space="0" w:color="auto"/>
      </w:divBdr>
    </w:div>
    <w:div w:id="265119757">
      <w:bodyDiv w:val="1"/>
      <w:marLeft w:val="0"/>
      <w:marRight w:val="0"/>
      <w:marTop w:val="0"/>
      <w:marBottom w:val="0"/>
      <w:divBdr>
        <w:top w:val="none" w:sz="0" w:space="0" w:color="auto"/>
        <w:left w:val="none" w:sz="0" w:space="0" w:color="auto"/>
        <w:bottom w:val="none" w:sz="0" w:space="0" w:color="auto"/>
        <w:right w:val="none" w:sz="0" w:space="0" w:color="auto"/>
      </w:divBdr>
    </w:div>
    <w:div w:id="324481950">
      <w:bodyDiv w:val="1"/>
      <w:marLeft w:val="0"/>
      <w:marRight w:val="0"/>
      <w:marTop w:val="0"/>
      <w:marBottom w:val="0"/>
      <w:divBdr>
        <w:top w:val="none" w:sz="0" w:space="0" w:color="auto"/>
        <w:left w:val="none" w:sz="0" w:space="0" w:color="auto"/>
        <w:bottom w:val="none" w:sz="0" w:space="0" w:color="auto"/>
        <w:right w:val="none" w:sz="0" w:space="0" w:color="auto"/>
      </w:divBdr>
    </w:div>
    <w:div w:id="335889541">
      <w:bodyDiv w:val="1"/>
      <w:marLeft w:val="0"/>
      <w:marRight w:val="0"/>
      <w:marTop w:val="0"/>
      <w:marBottom w:val="0"/>
      <w:divBdr>
        <w:top w:val="none" w:sz="0" w:space="0" w:color="auto"/>
        <w:left w:val="none" w:sz="0" w:space="0" w:color="auto"/>
        <w:bottom w:val="none" w:sz="0" w:space="0" w:color="auto"/>
        <w:right w:val="none" w:sz="0" w:space="0" w:color="auto"/>
      </w:divBdr>
    </w:div>
    <w:div w:id="340084558">
      <w:bodyDiv w:val="1"/>
      <w:marLeft w:val="0"/>
      <w:marRight w:val="0"/>
      <w:marTop w:val="0"/>
      <w:marBottom w:val="0"/>
      <w:divBdr>
        <w:top w:val="none" w:sz="0" w:space="0" w:color="auto"/>
        <w:left w:val="none" w:sz="0" w:space="0" w:color="auto"/>
        <w:bottom w:val="none" w:sz="0" w:space="0" w:color="auto"/>
        <w:right w:val="none" w:sz="0" w:space="0" w:color="auto"/>
      </w:divBdr>
    </w:div>
    <w:div w:id="348024331">
      <w:bodyDiv w:val="1"/>
      <w:marLeft w:val="0"/>
      <w:marRight w:val="0"/>
      <w:marTop w:val="0"/>
      <w:marBottom w:val="0"/>
      <w:divBdr>
        <w:top w:val="none" w:sz="0" w:space="0" w:color="auto"/>
        <w:left w:val="none" w:sz="0" w:space="0" w:color="auto"/>
        <w:bottom w:val="none" w:sz="0" w:space="0" w:color="auto"/>
        <w:right w:val="none" w:sz="0" w:space="0" w:color="auto"/>
      </w:divBdr>
    </w:div>
    <w:div w:id="373819818">
      <w:bodyDiv w:val="1"/>
      <w:marLeft w:val="0"/>
      <w:marRight w:val="0"/>
      <w:marTop w:val="0"/>
      <w:marBottom w:val="0"/>
      <w:divBdr>
        <w:top w:val="none" w:sz="0" w:space="0" w:color="auto"/>
        <w:left w:val="none" w:sz="0" w:space="0" w:color="auto"/>
        <w:bottom w:val="none" w:sz="0" w:space="0" w:color="auto"/>
        <w:right w:val="none" w:sz="0" w:space="0" w:color="auto"/>
      </w:divBdr>
    </w:div>
    <w:div w:id="391076081">
      <w:bodyDiv w:val="1"/>
      <w:marLeft w:val="0"/>
      <w:marRight w:val="0"/>
      <w:marTop w:val="0"/>
      <w:marBottom w:val="0"/>
      <w:divBdr>
        <w:top w:val="none" w:sz="0" w:space="0" w:color="auto"/>
        <w:left w:val="none" w:sz="0" w:space="0" w:color="auto"/>
        <w:bottom w:val="none" w:sz="0" w:space="0" w:color="auto"/>
        <w:right w:val="none" w:sz="0" w:space="0" w:color="auto"/>
      </w:divBdr>
    </w:div>
    <w:div w:id="417749641">
      <w:bodyDiv w:val="1"/>
      <w:marLeft w:val="0"/>
      <w:marRight w:val="0"/>
      <w:marTop w:val="0"/>
      <w:marBottom w:val="0"/>
      <w:divBdr>
        <w:top w:val="none" w:sz="0" w:space="0" w:color="auto"/>
        <w:left w:val="none" w:sz="0" w:space="0" w:color="auto"/>
        <w:bottom w:val="none" w:sz="0" w:space="0" w:color="auto"/>
        <w:right w:val="none" w:sz="0" w:space="0" w:color="auto"/>
      </w:divBdr>
    </w:div>
    <w:div w:id="426391905">
      <w:bodyDiv w:val="1"/>
      <w:marLeft w:val="0"/>
      <w:marRight w:val="0"/>
      <w:marTop w:val="0"/>
      <w:marBottom w:val="0"/>
      <w:divBdr>
        <w:top w:val="none" w:sz="0" w:space="0" w:color="auto"/>
        <w:left w:val="none" w:sz="0" w:space="0" w:color="auto"/>
        <w:bottom w:val="none" w:sz="0" w:space="0" w:color="auto"/>
        <w:right w:val="none" w:sz="0" w:space="0" w:color="auto"/>
      </w:divBdr>
    </w:div>
    <w:div w:id="440881427">
      <w:bodyDiv w:val="1"/>
      <w:marLeft w:val="0"/>
      <w:marRight w:val="0"/>
      <w:marTop w:val="0"/>
      <w:marBottom w:val="0"/>
      <w:divBdr>
        <w:top w:val="none" w:sz="0" w:space="0" w:color="auto"/>
        <w:left w:val="none" w:sz="0" w:space="0" w:color="auto"/>
        <w:bottom w:val="none" w:sz="0" w:space="0" w:color="auto"/>
        <w:right w:val="none" w:sz="0" w:space="0" w:color="auto"/>
      </w:divBdr>
    </w:div>
    <w:div w:id="503086964">
      <w:bodyDiv w:val="1"/>
      <w:marLeft w:val="0"/>
      <w:marRight w:val="0"/>
      <w:marTop w:val="0"/>
      <w:marBottom w:val="0"/>
      <w:divBdr>
        <w:top w:val="none" w:sz="0" w:space="0" w:color="auto"/>
        <w:left w:val="none" w:sz="0" w:space="0" w:color="auto"/>
        <w:bottom w:val="none" w:sz="0" w:space="0" w:color="auto"/>
        <w:right w:val="none" w:sz="0" w:space="0" w:color="auto"/>
      </w:divBdr>
    </w:div>
    <w:div w:id="524100761">
      <w:bodyDiv w:val="1"/>
      <w:marLeft w:val="0"/>
      <w:marRight w:val="0"/>
      <w:marTop w:val="0"/>
      <w:marBottom w:val="0"/>
      <w:divBdr>
        <w:top w:val="none" w:sz="0" w:space="0" w:color="auto"/>
        <w:left w:val="none" w:sz="0" w:space="0" w:color="auto"/>
        <w:bottom w:val="none" w:sz="0" w:space="0" w:color="auto"/>
        <w:right w:val="none" w:sz="0" w:space="0" w:color="auto"/>
      </w:divBdr>
    </w:div>
    <w:div w:id="524681337">
      <w:bodyDiv w:val="1"/>
      <w:marLeft w:val="0"/>
      <w:marRight w:val="0"/>
      <w:marTop w:val="0"/>
      <w:marBottom w:val="0"/>
      <w:divBdr>
        <w:top w:val="none" w:sz="0" w:space="0" w:color="auto"/>
        <w:left w:val="none" w:sz="0" w:space="0" w:color="auto"/>
        <w:bottom w:val="none" w:sz="0" w:space="0" w:color="auto"/>
        <w:right w:val="none" w:sz="0" w:space="0" w:color="auto"/>
      </w:divBdr>
    </w:div>
    <w:div w:id="550583183">
      <w:bodyDiv w:val="1"/>
      <w:marLeft w:val="0"/>
      <w:marRight w:val="0"/>
      <w:marTop w:val="0"/>
      <w:marBottom w:val="0"/>
      <w:divBdr>
        <w:top w:val="none" w:sz="0" w:space="0" w:color="auto"/>
        <w:left w:val="none" w:sz="0" w:space="0" w:color="auto"/>
        <w:bottom w:val="none" w:sz="0" w:space="0" w:color="auto"/>
        <w:right w:val="none" w:sz="0" w:space="0" w:color="auto"/>
      </w:divBdr>
    </w:div>
    <w:div w:id="604536011">
      <w:bodyDiv w:val="1"/>
      <w:marLeft w:val="0"/>
      <w:marRight w:val="0"/>
      <w:marTop w:val="0"/>
      <w:marBottom w:val="0"/>
      <w:divBdr>
        <w:top w:val="none" w:sz="0" w:space="0" w:color="auto"/>
        <w:left w:val="none" w:sz="0" w:space="0" w:color="auto"/>
        <w:bottom w:val="none" w:sz="0" w:space="0" w:color="auto"/>
        <w:right w:val="none" w:sz="0" w:space="0" w:color="auto"/>
      </w:divBdr>
    </w:div>
    <w:div w:id="605162804">
      <w:bodyDiv w:val="1"/>
      <w:marLeft w:val="0"/>
      <w:marRight w:val="0"/>
      <w:marTop w:val="0"/>
      <w:marBottom w:val="0"/>
      <w:divBdr>
        <w:top w:val="none" w:sz="0" w:space="0" w:color="auto"/>
        <w:left w:val="none" w:sz="0" w:space="0" w:color="auto"/>
        <w:bottom w:val="none" w:sz="0" w:space="0" w:color="auto"/>
        <w:right w:val="none" w:sz="0" w:space="0" w:color="auto"/>
      </w:divBdr>
    </w:div>
    <w:div w:id="605696971">
      <w:bodyDiv w:val="1"/>
      <w:marLeft w:val="0"/>
      <w:marRight w:val="0"/>
      <w:marTop w:val="0"/>
      <w:marBottom w:val="0"/>
      <w:divBdr>
        <w:top w:val="none" w:sz="0" w:space="0" w:color="auto"/>
        <w:left w:val="none" w:sz="0" w:space="0" w:color="auto"/>
        <w:bottom w:val="none" w:sz="0" w:space="0" w:color="auto"/>
        <w:right w:val="none" w:sz="0" w:space="0" w:color="auto"/>
      </w:divBdr>
    </w:div>
    <w:div w:id="622493133">
      <w:bodyDiv w:val="1"/>
      <w:marLeft w:val="0"/>
      <w:marRight w:val="0"/>
      <w:marTop w:val="0"/>
      <w:marBottom w:val="0"/>
      <w:divBdr>
        <w:top w:val="none" w:sz="0" w:space="0" w:color="auto"/>
        <w:left w:val="none" w:sz="0" w:space="0" w:color="auto"/>
        <w:bottom w:val="none" w:sz="0" w:space="0" w:color="auto"/>
        <w:right w:val="none" w:sz="0" w:space="0" w:color="auto"/>
      </w:divBdr>
    </w:div>
    <w:div w:id="625042968">
      <w:bodyDiv w:val="1"/>
      <w:marLeft w:val="0"/>
      <w:marRight w:val="0"/>
      <w:marTop w:val="0"/>
      <w:marBottom w:val="0"/>
      <w:divBdr>
        <w:top w:val="none" w:sz="0" w:space="0" w:color="auto"/>
        <w:left w:val="none" w:sz="0" w:space="0" w:color="auto"/>
        <w:bottom w:val="none" w:sz="0" w:space="0" w:color="auto"/>
        <w:right w:val="none" w:sz="0" w:space="0" w:color="auto"/>
      </w:divBdr>
    </w:div>
    <w:div w:id="701515040">
      <w:bodyDiv w:val="1"/>
      <w:marLeft w:val="0"/>
      <w:marRight w:val="0"/>
      <w:marTop w:val="0"/>
      <w:marBottom w:val="0"/>
      <w:divBdr>
        <w:top w:val="none" w:sz="0" w:space="0" w:color="auto"/>
        <w:left w:val="none" w:sz="0" w:space="0" w:color="auto"/>
        <w:bottom w:val="none" w:sz="0" w:space="0" w:color="auto"/>
        <w:right w:val="none" w:sz="0" w:space="0" w:color="auto"/>
      </w:divBdr>
    </w:div>
    <w:div w:id="715667159">
      <w:bodyDiv w:val="1"/>
      <w:marLeft w:val="0"/>
      <w:marRight w:val="0"/>
      <w:marTop w:val="0"/>
      <w:marBottom w:val="0"/>
      <w:divBdr>
        <w:top w:val="none" w:sz="0" w:space="0" w:color="auto"/>
        <w:left w:val="none" w:sz="0" w:space="0" w:color="auto"/>
        <w:bottom w:val="none" w:sz="0" w:space="0" w:color="auto"/>
        <w:right w:val="none" w:sz="0" w:space="0" w:color="auto"/>
      </w:divBdr>
    </w:div>
    <w:div w:id="718089632">
      <w:bodyDiv w:val="1"/>
      <w:marLeft w:val="0"/>
      <w:marRight w:val="0"/>
      <w:marTop w:val="0"/>
      <w:marBottom w:val="0"/>
      <w:divBdr>
        <w:top w:val="none" w:sz="0" w:space="0" w:color="auto"/>
        <w:left w:val="none" w:sz="0" w:space="0" w:color="auto"/>
        <w:bottom w:val="none" w:sz="0" w:space="0" w:color="auto"/>
        <w:right w:val="none" w:sz="0" w:space="0" w:color="auto"/>
      </w:divBdr>
    </w:div>
    <w:div w:id="718628860">
      <w:bodyDiv w:val="1"/>
      <w:marLeft w:val="0"/>
      <w:marRight w:val="0"/>
      <w:marTop w:val="0"/>
      <w:marBottom w:val="0"/>
      <w:divBdr>
        <w:top w:val="none" w:sz="0" w:space="0" w:color="auto"/>
        <w:left w:val="none" w:sz="0" w:space="0" w:color="auto"/>
        <w:bottom w:val="none" w:sz="0" w:space="0" w:color="auto"/>
        <w:right w:val="none" w:sz="0" w:space="0" w:color="auto"/>
      </w:divBdr>
    </w:div>
    <w:div w:id="734737437">
      <w:bodyDiv w:val="1"/>
      <w:marLeft w:val="0"/>
      <w:marRight w:val="0"/>
      <w:marTop w:val="0"/>
      <w:marBottom w:val="0"/>
      <w:divBdr>
        <w:top w:val="none" w:sz="0" w:space="0" w:color="auto"/>
        <w:left w:val="none" w:sz="0" w:space="0" w:color="auto"/>
        <w:bottom w:val="none" w:sz="0" w:space="0" w:color="auto"/>
        <w:right w:val="none" w:sz="0" w:space="0" w:color="auto"/>
      </w:divBdr>
    </w:div>
    <w:div w:id="751001179">
      <w:bodyDiv w:val="1"/>
      <w:marLeft w:val="0"/>
      <w:marRight w:val="0"/>
      <w:marTop w:val="0"/>
      <w:marBottom w:val="0"/>
      <w:divBdr>
        <w:top w:val="none" w:sz="0" w:space="0" w:color="auto"/>
        <w:left w:val="none" w:sz="0" w:space="0" w:color="auto"/>
        <w:bottom w:val="none" w:sz="0" w:space="0" w:color="auto"/>
        <w:right w:val="none" w:sz="0" w:space="0" w:color="auto"/>
      </w:divBdr>
    </w:div>
    <w:div w:id="796491047">
      <w:bodyDiv w:val="1"/>
      <w:marLeft w:val="0"/>
      <w:marRight w:val="0"/>
      <w:marTop w:val="0"/>
      <w:marBottom w:val="0"/>
      <w:divBdr>
        <w:top w:val="none" w:sz="0" w:space="0" w:color="auto"/>
        <w:left w:val="none" w:sz="0" w:space="0" w:color="auto"/>
        <w:bottom w:val="none" w:sz="0" w:space="0" w:color="auto"/>
        <w:right w:val="none" w:sz="0" w:space="0" w:color="auto"/>
      </w:divBdr>
    </w:div>
    <w:div w:id="822963326">
      <w:bodyDiv w:val="1"/>
      <w:marLeft w:val="0"/>
      <w:marRight w:val="0"/>
      <w:marTop w:val="0"/>
      <w:marBottom w:val="0"/>
      <w:divBdr>
        <w:top w:val="none" w:sz="0" w:space="0" w:color="auto"/>
        <w:left w:val="none" w:sz="0" w:space="0" w:color="auto"/>
        <w:bottom w:val="none" w:sz="0" w:space="0" w:color="auto"/>
        <w:right w:val="none" w:sz="0" w:space="0" w:color="auto"/>
      </w:divBdr>
    </w:div>
    <w:div w:id="855538243">
      <w:bodyDiv w:val="1"/>
      <w:marLeft w:val="0"/>
      <w:marRight w:val="0"/>
      <w:marTop w:val="0"/>
      <w:marBottom w:val="0"/>
      <w:divBdr>
        <w:top w:val="none" w:sz="0" w:space="0" w:color="auto"/>
        <w:left w:val="none" w:sz="0" w:space="0" w:color="auto"/>
        <w:bottom w:val="none" w:sz="0" w:space="0" w:color="auto"/>
        <w:right w:val="none" w:sz="0" w:space="0" w:color="auto"/>
      </w:divBdr>
    </w:div>
    <w:div w:id="863640948">
      <w:bodyDiv w:val="1"/>
      <w:marLeft w:val="0"/>
      <w:marRight w:val="0"/>
      <w:marTop w:val="0"/>
      <w:marBottom w:val="0"/>
      <w:divBdr>
        <w:top w:val="none" w:sz="0" w:space="0" w:color="auto"/>
        <w:left w:val="none" w:sz="0" w:space="0" w:color="auto"/>
        <w:bottom w:val="none" w:sz="0" w:space="0" w:color="auto"/>
        <w:right w:val="none" w:sz="0" w:space="0" w:color="auto"/>
      </w:divBdr>
    </w:div>
    <w:div w:id="882257168">
      <w:bodyDiv w:val="1"/>
      <w:marLeft w:val="0"/>
      <w:marRight w:val="0"/>
      <w:marTop w:val="0"/>
      <w:marBottom w:val="0"/>
      <w:divBdr>
        <w:top w:val="none" w:sz="0" w:space="0" w:color="auto"/>
        <w:left w:val="none" w:sz="0" w:space="0" w:color="auto"/>
        <w:bottom w:val="none" w:sz="0" w:space="0" w:color="auto"/>
        <w:right w:val="none" w:sz="0" w:space="0" w:color="auto"/>
      </w:divBdr>
    </w:div>
    <w:div w:id="942032047">
      <w:bodyDiv w:val="1"/>
      <w:marLeft w:val="0"/>
      <w:marRight w:val="0"/>
      <w:marTop w:val="0"/>
      <w:marBottom w:val="0"/>
      <w:divBdr>
        <w:top w:val="none" w:sz="0" w:space="0" w:color="auto"/>
        <w:left w:val="none" w:sz="0" w:space="0" w:color="auto"/>
        <w:bottom w:val="none" w:sz="0" w:space="0" w:color="auto"/>
        <w:right w:val="none" w:sz="0" w:space="0" w:color="auto"/>
      </w:divBdr>
    </w:div>
    <w:div w:id="976031204">
      <w:bodyDiv w:val="1"/>
      <w:marLeft w:val="0"/>
      <w:marRight w:val="0"/>
      <w:marTop w:val="0"/>
      <w:marBottom w:val="0"/>
      <w:divBdr>
        <w:top w:val="none" w:sz="0" w:space="0" w:color="auto"/>
        <w:left w:val="none" w:sz="0" w:space="0" w:color="auto"/>
        <w:bottom w:val="none" w:sz="0" w:space="0" w:color="auto"/>
        <w:right w:val="none" w:sz="0" w:space="0" w:color="auto"/>
      </w:divBdr>
    </w:div>
    <w:div w:id="977340616">
      <w:bodyDiv w:val="1"/>
      <w:marLeft w:val="0"/>
      <w:marRight w:val="0"/>
      <w:marTop w:val="0"/>
      <w:marBottom w:val="0"/>
      <w:divBdr>
        <w:top w:val="none" w:sz="0" w:space="0" w:color="auto"/>
        <w:left w:val="none" w:sz="0" w:space="0" w:color="auto"/>
        <w:bottom w:val="none" w:sz="0" w:space="0" w:color="auto"/>
        <w:right w:val="none" w:sz="0" w:space="0" w:color="auto"/>
      </w:divBdr>
    </w:div>
    <w:div w:id="988633770">
      <w:bodyDiv w:val="1"/>
      <w:marLeft w:val="0"/>
      <w:marRight w:val="0"/>
      <w:marTop w:val="0"/>
      <w:marBottom w:val="0"/>
      <w:divBdr>
        <w:top w:val="none" w:sz="0" w:space="0" w:color="auto"/>
        <w:left w:val="none" w:sz="0" w:space="0" w:color="auto"/>
        <w:bottom w:val="none" w:sz="0" w:space="0" w:color="auto"/>
        <w:right w:val="none" w:sz="0" w:space="0" w:color="auto"/>
      </w:divBdr>
    </w:div>
    <w:div w:id="996113121">
      <w:bodyDiv w:val="1"/>
      <w:marLeft w:val="0"/>
      <w:marRight w:val="0"/>
      <w:marTop w:val="0"/>
      <w:marBottom w:val="0"/>
      <w:divBdr>
        <w:top w:val="none" w:sz="0" w:space="0" w:color="auto"/>
        <w:left w:val="none" w:sz="0" w:space="0" w:color="auto"/>
        <w:bottom w:val="none" w:sz="0" w:space="0" w:color="auto"/>
        <w:right w:val="none" w:sz="0" w:space="0" w:color="auto"/>
      </w:divBdr>
    </w:div>
    <w:div w:id="1032919908">
      <w:bodyDiv w:val="1"/>
      <w:marLeft w:val="0"/>
      <w:marRight w:val="0"/>
      <w:marTop w:val="0"/>
      <w:marBottom w:val="0"/>
      <w:divBdr>
        <w:top w:val="none" w:sz="0" w:space="0" w:color="auto"/>
        <w:left w:val="none" w:sz="0" w:space="0" w:color="auto"/>
        <w:bottom w:val="none" w:sz="0" w:space="0" w:color="auto"/>
        <w:right w:val="none" w:sz="0" w:space="0" w:color="auto"/>
      </w:divBdr>
    </w:div>
    <w:div w:id="1034229021">
      <w:bodyDiv w:val="1"/>
      <w:marLeft w:val="0"/>
      <w:marRight w:val="0"/>
      <w:marTop w:val="0"/>
      <w:marBottom w:val="0"/>
      <w:divBdr>
        <w:top w:val="none" w:sz="0" w:space="0" w:color="auto"/>
        <w:left w:val="none" w:sz="0" w:space="0" w:color="auto"/>
        <w:bottom w:val="none" w:sz="0" w:space="0" w:color="auto"/>
        <w:right w:val="none" w:sz="0" w:space="0" w:color="auto"/>
      </w:divBdr>
    </w:div>
    <w:div w:id="1052390008">
      <w:bodyDiv w:val="1"/>
      <w:marLeft w:val="0"/>
      <w:marRight w:val="0"/>
      <w:marTop w:val="0"/>
      <w:marBottom w:val="0"/>
      <w:divBdr>
        <w:top w:val="none" w:sz="0" w:space="0" w:color="auto"/>
        <w:left w:val="none" w:sz="0" w:space="0" w:color="auto"/>
        <w:bottom w:val="none" w:sz="0" w:space="0" w:color="auto"/>
        <w:right w:val="none" w:sz="0" w:space="0" w:color="auto"/>
      </w:divBdr>
    </w:div>
    <w:div w:id="1059981295">
      <w:bodyDiv w:val="1"/>
      <w:marLeft w:val="0"/>
      <w:marRight w:val="0"/>
      <w:marTop w:val="0"/>
      <w:marBottom w:val="0"/>
      <w:divBdr>
        <w:top w:val="none" w:sz="0" w:space="0" w:color="auto"/>
        <w:left w:val="none" w:sz="0" w:space="0" w:color="auto"/>
        <w:bottom w:val="none" w:sz="0" w:space="0" w:color="auto"/>
        <w:right w:val="none" w:sz="0" w:space="0" w:color="auto"/>
      </w:divBdr>
    </w:div>
    <w:div w:id="1068962080">
      <w:bodyDiv w:val="1"/>
      <w:marLeft w:val="0"/>
      <w:marRight w:val="0"/>
      <w:marTop w:val="0"/>
      <w:marBottom w:val="0"/>
      <w:divBdr>
        <w:top w:val="none" w:sz="0" w:space="0" w:color="auto"/>
        <w:left w:val="none" w:sz="0" w:space="0" w:color="auto"/>
        <w:bottom w:val="none" w:sz="0" w:space="0" w:color="auto"/>
        <w:right w:val="none" w:sz="0" w:space="0" w:color="auto"/>
      </w:divBdr>
    </w:div>
    <w:div w:id="1115636325">
      <w:bodyDiv w:val="1"/>
      <w:marLeft w:val="0"/>
      <w:marRight w:val="0"/>
      <w:marTop w:val="0"/>
      <w:marBottom w:val="0"/>
      <w:divBdr>
        <w:top w:val="none" w:sz="0" w:space="0" w:color="auto"/>
        <w:left w:val="none" w:sz="0" w:space="0" w:color="auto"/>
        <w:bottom w:val="none" w:sz="0" w:space="0" w:color="auto"/>
        <w:right w:val="none" w:sz="0" w:space="0" w:color="auto"/>
      </w:divBdr>
    </w:div>
    <w:div w:id="1143236457">
      <w:bodyDiv w:val="1"/>
      <w:marLeft w:val="0"/>
      <w:marRight w:val="0"/>
      <w:marTop w:val="0"/>
      <w:marBottom w:val="0"/>
      <w:divBdr>
        <w:top w:val="none" w:sz="0" w:space="0" w:color="auto"/>
        <w:left w:val="none" w:sz="0" w:space="0" w:color="auto"/>
        <w:bottom w:val="none" w:sz="0" w:space="0" w:color="auto"/>
        <w:right w:val="none" w:sz="0" w:space="0" w:color="auto"/>
      </w:divBdr>
    </w:div>
    <w:div w:id="1173180870">
      <w:bodyDiv w:val="1"/>
      <w:marLeft w:val="0"/>
      <w:marRight w:val="0"/>
      <w:marTop w:val="0"/>
      <w:marBottom w:val="0"/>
      <w:divBdr>
        <w:top w:val="none" w:sz="0" w:space="0" w:color="auto"/>
        <w:left w:val="none" w:sz="0" w:space="0" w:color="auto"/>
        <w:bottom w:val="none" w:sz="0" w:space="0" w:color="auto"/>
        <w:right w:val="none" w:sz="0" w:space="0" w:color="auto"/>
      </w:divBdr>
    </w:div>
    <w:div w:id="1284532389">
      <w:bodyDiv w:val="1"/>
      <w:marLeft w:val="0"/>
      <w:marRight w:val="0"/>
      <w:marTop w:val="0"/>
      <w:marBottom w:val="0"/>
      <w:divBdr>
        <w:top w:val="none" w:sz="0" w:space="0" w:color="auto"/>
        <w:left w:val="none" w:sz="0" w:space="0" w:color="auto"/>
        <w:bottom w:val="none" w:sz="0" w:space="0" w:color="auto"/>
        <w:right w:val="none" w:sz="0" w:space="0" w:color="auto"/>
      </w:divBdr>
    </w:div>
    <w:div w:id="1294823151">
      <w:bodyDiv w:val="1"/>
      <w:marLeft w:val="0"/>
      <w:marRight w:val="0"/>
      <w:marTop w:val="0"/>
      <w:marBottom w:val="0"/>
      <w:divBdr>
        <w:top w:val="none" w:sz="0" w:space="0" w:color="auto"/>
        <w:left w:val="none" w:sz="0" w:space="0" w:color="auto"/>
        <w:bottom w:val="none" w:sz="0" w:space="0" w:color="auto"/>
        <w:right w:val="none" w:sz="0" w:space="0" w:color="auto"/>
      </w:divBdr>
    </w:div>
    <w:div w:id="1372416295">
      <w:bodyDiv w:val="1"/>
      <w:marLeft w:val="0"/>
      <w:marRight w:val="0"/>
      <w:marTop w:val="0"/>
      <w:marBottom w:val="0"/>
      <w:divBdr>
        <w:top w:val="none" w:sz="0" w:space="0" w:color="auto"/>
        <w:left w:val="none" w:sz="0" w:space="0" w:color="auto"/>
        <w:bottom w:val="none" w:sz="0" w:space="0" w:color="auto"/>
        <w:right w:val="none" w:sz="0" w:space="0" w:color="auto"/>
      </w:divBdr>
    </w:div>
    <w:div w:id="1384520696">
      <w:bodyDiv w:val="1"/>
      <w:marLeft w:val="0"/>
      <w:marRight w:val="0"/>
      <w:marTop w:val="0"/>
      <w:marBottom w:val="0"/>
      <w:divBdr>
        <w:top w:val="none" w:sz="0" w:space="0" w:color="auto"/>
        <w:left w:val="none" w:sz="0" w:space="0" w:color="auto"/>
        <w:bottom w:val="none" w:sz="0" w:space="0" w:color="auto"/>
        <w:right w:val="none" w:sz="0" w:space="0" w:color="auto"/>
      </w:divBdr>
    </w:div>
    <w:div w:id="1391077150">
      <w:bodyDiv w:val="1"/>
      <w:marLeft w:val="0"/>
      <w:marRight w:val="0"/>
      <w:marTop w:val="0"/>
      <w:marBottom w:val="0"/>
      <w:divBdr>
        <w:top w:val="none" w:sz="0" w:space="0" w:color="auto"/>
        <w:left w:val="none" w:sz="0" w:space="0" w:color="auto"/>
        <w:bottom w:val="none" w:sz="0" w:space="0" w:color="auto"/>
        <w:right w:val="none" w:sz="0" w:space="0" w:color="auto"/>
      </w:divBdr>
    </w:div>
    <w:div w:id="1473408617">
      <w:bodyDiv w:val="1"/>
      <w:marLeft w:val="0"/>
      <w:marRight w:val="0"/>
      <w:marTop w:val="0"/>
      <w:marBottom w:val="0"/>
      <w:divBdr>
        <w:top w:val="none" w:sz="0" w:space="0" w:color="auto"/>
        <w:left w:val="none" w:sz="0" w:space="0" w:color="auto"/>
        <w:bottom w:val="none" w:sz="0" w:space="0" w:color="auto"/>
        <w:right w:val="none" w:sz="0" w:space="0" w:color="auto"/>
      </w:divBdr>
    </w:div>
    <w:div w:id="1495679892">
      <w:bodyDiv w:val="1"/>
      <w:marLeft w:val="0"/>
      <w:marRight w:val="0"/>
      <w:marTop w:val="0"/>
      <w:marBottom w:val="0"/>
      <w:divBdr>
        <w:top w:val="none" w:sz="0" w:space="0" w:color="auto"/>
        <w:left w:val="none" w:sz="0" w:space="0" w:color="auto"/>
        <w:bottom w:val="none" w:sz="0" w:space="0" w:color="auto"/>
        <w:right w:val="none" w:sz="0" w:space="0" w:color="auto"/>
      </w:divBdr>
    </w:div>
    <w:div w:id="1533226825">
      <w:bodyDiv w:val="1"/>
      <w:marLeft w:val="0"/>
      <w:marRight w:val="0"/>
      <w:marTop w:val="0"/>
      <w:marBottom w:val="0"/>
      <w:divBdr>
        <w:top w:val="none" w:sz="0" w:space="0" w:color="auto"/>
        <w:left w:val="none" w:sz="0" w:space="0" w:color="auto"/>
        <w:bottom w:val="none" w:sz="0" w:space="0" w:color="auto"/>
        <w:right w:val="none" w:sz="0" w:space="0" w:color="auto"/>
      </w:divBdr>
    </w:div>
    <w:div w:id="1534809949">
      <w:bodyDiv w:val="1"/>
      <w:marLeft w:val="0"/>
      <w:marRight w:val="0"/>
      <w:marTop w:val="0"/>
      <w:marBottom w:val="0"/>
      <w:divBdr>
        <w:top w:val="none" w:sz="0" w:space="0" w:color="auto"/>
        <w:left w:val="none" w:sz="0" w:space="0" w:color="auto"/>
        <w:bottom w:val="none" w:sz="0" w:space="0" w:color="auto"/>
        <w:right w:val="none" w:sz="0" w:space="0" w:color="auto"/>
      </w:divBdr>
    </w:div>
    <w:div w:id="1536581593">
      <w:bodyDiv w:val="1"/>
      <w:marLeft w:val="0"/>
      <w:marRight w:val="0"/>
      <w:marTop w:val="0"/>
      <w:marBottom w:val="0"/>
      <w:divBdr>
        <w:top w:val="none" w:sz="0" w:space="0" w:color="auto"/>
        <w:left w:val="none" w:sz="0" w:space="0" w:color="auto"/>
        <w:bottom w:val="none" w:sz="0" w:space="0" w:color="auto"/>
        <w:right w:val="none" w:sz="0" w:space="0" w:color="auto"/>
      </w:divBdr>
    </w:div>
    <w:div w:id="1548562754">
      <w:bodyDiv w:val="1"/>
      <w:marLeft w:val="0"/>
      <w:marRight w:val="0"/>
      <w:marTop w:val="0"/>
      <w:marBottom w:val="0"/>
      <w:divBdr>
        <w:top w:val="none" w:sz="0" w:space="0" w:color="auto"/>
        <w:left w:val="none" w:sz="0" w:space="0" w:color="auto"/>
        <w:bottom w:val="none" w:sz="0" w:space="0" w:color="auto"/>
        <w:right w:val="none" w:sz="0" w:space="0" w:color="auto"/>
      </w:divBdr>
    </w:div>
    <w:div w:id="1576740022">
      <w:bodyDiv w:val="1"/>
      <w:marLeft w:val="0"/>
      <w:marRight w:val="0"/>
      <w:marTop w:val="0"/>
      <w:marBottom w:val="0"/>
      <w:divBdr>
        <w:top w:val="none" w:sz="0" w:space="0" w:color="auto"/>
        <w:left w:val="none" w:sz="0" w:space="0" w:color="auto"/>
        <w:bottom w:val="none" w:sz="0" w:space="0" w:color="auto"/>
        <w:right w:val="none" w:sz="0" w:space="0" w:color="auto"/>
      </w:divBdr>
    </w:div>
    <w:div w:id="1577981896">
      <w:bodyDiv w:val="1"/>
      <w:marLeft w:val="0"/>
      <w:marRight w:val="0"/>
      <w:marTop w:val="0"/>
      <w:marBottom w:val="0"/>
      <w:divBdr>
        <w:top w:val="none" w:sz="0" w:space="0" w:color="auto"/>
        <w:left w:val="none" w:sz="0" w:space="0" w:color="auto"/>
        <w:bottom w:val="none" w:sz="0" w:space="0" w:color="auto"/>
        <w:right w:val="none" w:sz="0" w:space="0" w:color="auto"/>
      </w:divBdr>
    </w:div>
    <w:div w:id="1581521348">
      <w:bodyDiv w:val="1"/>
      <w:marLeft w:val="0"/>
      <w:marRight w:val="0"/>
      <w:marTop w:val="0"/>
      <w:marBottom w:val="0"/>
      <w:divBdr>
        <w:top w:val="none" w:sz="0" w:space="0" w:color="auto"/>
        <w:left w:val="none" w:sz="0" w:space="0" w:color="auto"/>
        <w:bottom w:val="none" w:sz="0" w:space="0" w:color="auto"/>
        <w:right w:val="none" w:sz="0" w:space="0" w:color="auto"/>
      </w:divBdr>
    </w:div>
    <w:div w:id="1584680801">
      <w:bodyDiv w:val="1"/>
      <w:marLeft w:val="0"/>
      <w:marRight w:val="0"/>
      <w:marTop w:val="0"/>
      <w:marBottom w:val="0"/>
      <w:divBdr>
        <w:top w:val="none" w:sz="0" w:space="0" w:color="auto"/>
        <w:left w:val="none" w:sz="0" w:space="0" w:color="auto"/>
        <w:bottom w:val="none" w:sz="0" w:space="0" w:color="auto"/>
        <w:right w:val="none" w:sz="0" w:space="0" w:color="auto"/>
      </w:divBdr>
    </w:div>
    <w:div w:id="1592162744">
      <w:bodyDiv w:val="1"/>
      <w:marLeft w:val="0"/>
      <w:marRight w:val="0"/>
      <w:marTop w:val="0"/>
      <w:marBottom w:val="0"/>
      <w:divBdr>
        <w:top w:val="none" w:sz="0" w:space="0" w:color="auto"/>
        <w:left w:val="none" w:sz="0" w:space="0" w:color="auto"/>
        <w:bottom w:val="none" w:sz="0" w:space="0" w:color="auto"/>
        <w:right w:val="none" w:sz="0" w:space="0" w:color="auto"/>
      </w:divBdr>
    </w:div>
    <w:div w:id="1608585074">
      <w:bodyDiv w:val="1"/>
      <w:marLeft w:val="0"/>
      <w:marRight w:val="0"/>
      <w:marTop w:val="0"/>
      <w:marBottom w:val="0"/>
      <w:divBdr>
        <w:top w:val="none" w:sz="0" w:space="0" w:color="auto"/>
        <w:left w:val="none" w:sz="0" w:space="0" w:color="auto"/>
        <w:bottom w:val="none" w:sz="0" w:space="0" w:color="auto"/>
        <w:right w:val="none" w:sz="0" w:space="0" w:color="auto"/>
      </w:divBdr>
    </w:div>
    <w:div w:id="1609313132">
      <w:bodyDiv w:val="1"/>
      <w:marLeft w:val="0"/>
      <w:marRight w:val="0"/>
      <w:marTop w:val="0"/>
      <w:marBottom w:val="0"/>
      <w:divBdr>
        <w:top w:val="none" w:sz="0" w:space="0" w:color="auto"/>
        <w:left w:val="none" w:sz="0" w:space="0" w:color="auto"/>
        <w:bottom w:val="none" w:sz="0" w:space="0" w:color="auto"/>
        <w:right w:val="none" w:sz="0" w:space="0" w:color="auto"/>
      </w:divBdr>
    </w:div>
    <w:div w:id="1613199715">
      <w:bodyDiv w:val="1"/>
      <w:marLeft w:val="0"/>
      <w:marRight w:val="0"/>
      <w:marTop w:val="0"/>
      <w:marBottom w:val="0"/>
      <w:divBdr>
        <w:top w:val="none" w:sz="0" w:space="0" w:color="auto"/>
        <w:left w:val="none" w:sz="0" w:space="0" w:color="auto"/>
        <w:bottom w:val="none" w:sz="0" w:space="0" w:color="auto"/>
        <w:right w:val="none" w:sz="0" w:space="0" w:color="auto"/>
      </w:divBdr>
    </w:div>
    <w:div w:id="1625620633">
      <w:bodyDiv w:val="1"/>
      <w:marLeft w:val="0"/>
      <w:marRight w:val="0"/>
      <w:marTop w:val="0"/>
      <w:marBottom w:val="0"/>
      <w:divBdr>
        <w:top w:val="none" w:sz="0" w:space="0" w:color="auto"/>
        <w:left w:val="none" w:sz="0" w:space="0" w:color="auto"/>
        <w:bottom w:val="none" w:sz="0" w:space="0" w:color="auto"/>
        <w:right w:val="none" w:sz="0" w:space="0" w:color="auto"/>
      </w:divBdr>
    </w:div>
    <w:div w:id="1629507957">
      <w:bodyDiv w:val="1"/>
      <w:marLeft w:val="0"/>
      <w:marRight w:val="0"/>
      <w:marTop w:val="0"/>
      <w:marBottom w:val="0"/>
      <w:divBdr>
        <w:top w:val="none" w:sz="0" w:space="0" w:color="auto"/>
        <w:left w:val="none" w:sz="0" w:space="0" w:color="auto"/>
        <w:bottom w:val="none" w:sz="0" w:space="0" w:color="auto"/>
        <w:right w:val="none" w:sz="0" w:space="0" w:color="auto"/>
      </w:divBdr>
    </w:div>
    <w:div w:id="1665936315">
      <w:bodyDiv w:val="1"/>
      <w:marLeft w:val="0"/>
      <w:marRight w:val="0"/>
      <w:marTop w:val="0"/>
      <w:marBottom w:val="0"/>
      <w:divBdr>
        <w:top w:val="none" w:sz="0" w:space="0" w:color="auto"/>
        <w:left w:val="none" w:sz="0" w:space="0" w:color="auto"/>
        <w:bottom w:val="none" w:sz="0" w:space="0" w:color="auto"/>
        <w:right w:val="none" w:sz="0" w:space="0" w:color="auto"/>
      </w:divBdr>
    </w:div>
    <w:div w:id="1732116678">
      <w:bodyDiv w:val="1"/>
      <w:marLeft w:val="0"/>
      <w:marRight w:val="0"/>
      <w:marTop w:val="0"/>
      <w:marBottom w:val="0"/>
      <w:divBdr>
        <w:top w:val="none" w:sz="0" w:space="0" w:color="auto"/>
        <w:left w:val="none" w:sz="0" w:space="0" w:color="auto"/>
        <w:bottom w:val="none" w:sz="0" w:space="0" w:color="auto"/>
        <w:right w:val="none" w:sz="0" w:space="0" w:color="auto"/>
      </w:divBdr>
    </w:div>
    <w:div w:id="1740320679">
      <w:bodyDiv w:val="1"/>
      <w:marLeft w:val="0"/>
      <w:marRight w:val="0"/>
      <w:marTop w:val="0"/>
      <w:marBottom w:val="0"/>
      <w:divBdr>
        <w:top w:val="none" w:sz="0" w:space="0" w:color="auto"/>
        <w:left w:val="none" w:sz="0" w:space="0" w:color="auto"/>
        <w:bottom w:val="none" w:sz="0" w:space="0" w:color="auto"/>
        <w:right w:val="none" w:sz="0" w:space="0" w:color="auto"/>
      </w:divBdr>
    </w:div>
    <w:div w:id="1758671842">
      <w:bodyDiv w:val="1"/>
      <w:marLeft w:val="0"/>
      <w:marRight w:val="0"/>
      <w:marTop w:val="0"/>
      <w:marBottom w:val="0"/>
      <w:divBdr>
        <w:top w:val="none" w:sz="0" w:space="0" w:color="auto"/>
        <w:left w:val="none" w:sz="0" w:space="0" w:color="auto"/>
        <w:bottom w:val="none" w:sz="0" w:space="0" w:color="auto"/>
        <w:right w:val="none" w:sz="0" w:space="0" w:color="auto"/>
      </w:divBdr>
    </w:div>
    <w:div w:id="1776704892">
      <w:bodyDiv w:val="1"/>
      <w:marLeft w:val="0"/>
      <w:marRight w:val="0"/>
      <w:marTop w:val="0"/>
      <w:marBottom w:val="0"/>
      <w:divBdr>
        <w:top w:val="none" w:sz="0" w:space="0" w:color="auto"/>
        <w:left w:val="none" w:sz="0" w:space="0" w:color="auto"/>
        <w:bottom w:val="none" w:sz="0" w:space="0" w:color="auto"/>
        <w:right w:val="none" w:sz="0" w:space="0" w:color="auto"/>
      </w:divBdr>
    </w:div>
    <w:div w:id="1781291993">
      <w:bodyDiv w:val="1"/>
      <w:marLeft w:val="0"/>
      <w:marRight w:val="0"/>
      <w:marTop w:val="0"/>
      <w:marBottom w:val="0"/>
      <w:divBdr>
        <w:top w:val="none" w:sz="0" w:space="0" w:color="auto"/>
        <w:left w:val="none" w:sz="0" w:space="0" w:color="auto"/>
        <w:bottom w:val="none" w:sz="0" w:space="0" w:color="auto"/>
        <w:right w:val="none" w:sz="0" w:space="0" w:color="auto"/>
      </w:divBdr>
    </w:div>
    <w:div w:id="1793136060">
      <w:bodyDiv w:val="1"/>
      <w:marLeft w:val="0"/>
      <w:marRight w:val="0"/>
      <w:marTop w:val="0"/>
      <w:marBottom w:val="0"/>
      <w:divBdr>
        <w:top w:val="none" w:sz="0" w:space="0" w:color="auto"/>
        <w:left w:val="none" w:sz="0" w:space="0" w:color="auto"/>
        <w:bottom w:val="none" w:sz="0" w:space="0" w:color="auto"/>
        <w:right w:val="none" w:sz="0" w:space="0" w:color="auto"/>
      </w:divBdr>
    </w:div>
    <w:div w:id="1828351974">
      <w:bodyDiv w:val="1"/>
      <w:marLeft w:val="0"/>
      <w:marRight w:val="0"/>
      <w:marTop w:val="0"/>
      <w:marBottom w:val="0"/>
      <w:divBdr>
        <w:top w:val="none" w:sz="0" w:space="0" w:color="auto"/>
        <w:left w:val="none" w:sz="0" w:space="0" w:color="auto"/>
        <w:bottom w:val="none" w:sz="0" w:space="0" w:color="auto"/>
        <w:right w:val="none" w:sz="0" w:space="0" w:color="auto"/>
      </w:divBdr>
    </w:div>
    <w:div w:id="1837307701">
      <w:bodyDiv w:val="1"/>
      <w:marLeft w:val="0"/>
      <w:marRight w:val="0"/>
      <w:marTop w:val="0"/>
      <w:marBottom w:val="0"/>
      <w:divBdr>
        <w:top w:val="none" w:sz="0" w:space="0" w:color="auto"/>
        <w:left w:val="none" w:sz="0" w:space="0" w:color="auto"/>
        <w:bottom w:val="none" w:sz="0" w:space="0" w:color="auto"/>
        <w:right w:val="none" w:sz="0" w:space="0" w:color="auto"/>
      </w:divBdr>
    </w:div>
    <w:div w:id="1898013162">
      <w:bodyDiv w:val="1"/>
      <w:marLeft w:val="0"/>
      <w:marRight w:val="0"/>
      <w:marTop w:val="0"/>
      <w:marBottom w:val="0"/>
      <w:divBdr>
        <w:top w:val="none" w:sz="0" w:space="0" w:color="auto"/>
        <w:left w:val="none" w:sz="0" w:space="0" w:color="auto"/>
        <w:bottom w:val="none" w:sz="0" w:space="0" w:color="auto"/>
        <w:right w:val="none" w:sz="0" w:space="0" w:color="auto"/>
      </w:divBdr>
    </w:div>
    <w:div w:id="1944456184">
      <w:bodyDiv w:val="1"/>
      <w:marLeft w:val="0"/>
      <w:marRight w:val="0"/>
      <w:marTop w:val="0"/>
      <w:marBottom w:val="0"/>
      <w:divBdr>
        <w:top w:val="none" w:sz="0" w:space="0" w:color="auto"/>
        <w:left w:val="none" w:sz="0" w:space="0" w:color="auto"/>
        <w:bottom w:val="none" w:sz="0" w:space="0" w:color="auto"/>
        <w:right w:val="none" w:sz="0" w:space="0" w:color="auto"/>
      </w:divBdr>
    </w:div>
    <w:div w:id="1959600446">
      <w:bodyDiv w:val="1"/>
      <w:marLeft w:val="0"/>
      <w:marRight w:val="0"/>
      <w:marTop w:val="0"/>
      <w:marBottom w:val="0"/>
      <w:divBdr>
        <w:top w:val="none" w:sz="0" w:space="0" w:color="auto"/>
        <w:left w:val="none" w:sz="0" w:space="0" w:color="auto"/>
        <w:bottom w:val="none" w:sz="0" w:space="0" w:color="auto"/>
        <w:right w:val="none" w:sz="0" w:space="0" w:color="auto"/>
      </w:divBdr>
    </w:div>
    <w:div w:id="2005890016">
      <w:bodyDiv w:val="1"/>
      <w:marLeft w:val="0"/>
      <w:marRight w:val="0"/>
      <w:marTop w:val="0"/>
      <w:marBottom w:val="0"/>
      <w:divBdr>
        <w:top w:val="none" w:sz="0" w:space="0" w:color="auto"/>
        <w:left w:val="none" w:sz="0" w:space="0" w:color="auto"/>
        <w:bottom w:val="none" w:sz="0" w:space="0" w:color="auto"/>
        <w:right w:val="none" w:sz="0" w:space="0" w:color="auto"/>
      </w:divBdr>
    </w:div>
    <w:div w:id="2052025390">
      <w:bodyDiv w:val="1"/>
      <w:marLeft w:val="0"/>
      <w:marRight w:val="0"/>
      <w:marTop w:val="0"/>
      <w:marBottom w:val="0"/>
      <w:divBdr>
        <w:top w:val="none" w:sz="0" w:space="0" w:color="auto"/>
        <w:left w:val="none" w:sz="0" w:space="0" w:color="auto"/>
        <w:bottom w:val="none" w:sz="0" w:space="0" w:color="auto"/>
        <w:right w:val="none" w:sz="0" w:space="0" w:color="auto"/>
      </w:divBdr>
    </w:div>
    <w:div w:id="2059166425">
      <w:bodyDiv w:val="1"/>
      <w:marLeft w:val="0"/>
      <w:marRight w:val="0"/>
      <w:marTop w:val="0"/>
      <w:marBottom w:val="0"/>
      <w:divBdr>
        <w:top w:val="none" w:sz="0" w:space="0" w:color="auto"/>
        <w:left w:val="none" w:sz="0" w:space="0" w:color="auto"/>
        <w:bottom w:val="none" w:sz="0" w:space="0" w:color="auto"/>
        <w:right w:val="none" w:sz="0" w:space="0" w:color="auto"/>
      </w:divBdr>
    </w:div>
    <w:div w:id="2104299633">
      <w:bodyDiv w:val="1"/>
      <w:marLeft w:val="0"/>
      <w:marRight w:val="0"/>
      <w:marTop w:val="0"/>
      <w:marBottom w:val="0"/>
      <w:divBdr>
        <w:top w:val="none" w:sz="0" w:space="0" w:color="auto"/>
        <w:left w:val="none" w:sz="0" w:space="0" w:color="auto"/>
        <w:bottom w:val="none" w:sz="0" w:space="0" w:color="auto"/>
        <w:right w:val="none" w:sz="0" w:space="0" w:color="auto"/>
      </w:divBdr>
    </w:div>
    <w:div w:id="213945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Chris.Mochan@strath.ac.uk" TargetMode="Externa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classes.myplace.strath.ac.uk/course/view.php?id=26168"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Judge</dc:creator>
  <cp:keywords/>
  <dc:description/>
  <cp:lastModifiedBy>Chris Mochan</cp:lastModifiedBy>
  <cp:revision>7</cp:revision>
  <dcterms:created xsi:type="dcterms:W3CDTF">2023-12-06T10:14:00Z</dcterms:created>
  <dcterms:modified xsi:type="dcterms:W3CDTF">2023-12-08T11:07:00Z</dcterms:modified>
</cp:coreProperties>
</file>