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4E511D"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6B031C74">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A41558" w:rsidRDefault="00A41558" w:rsidP="004E511D">
                <w:pPr>
                  <w:keepNext/>
                  <w:rPr>
                    <w:rFonts w:asciiTheme="majorHAnsi" w:hAnsiTheme="majorHAnsi" w:cstheme="majorHAnsi"/>
                    <w:sz w:val="28"/>
                    <w:szCs w:val="28"/>
                  </w:rPr>
                </w:pPr>
                <w:bookmarkStart w:id="0" w:name="_GoBack"/>
                <w:bookmarkEnd w:id="0"/>
              </w:p>
              <w:p w:rsidR="00A41558" w:rsidRPr="0019215C" w:rsidRDefault="00A41558"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195E2F" w:rsidP="00214CC2">
                <w:pPr>
                  <w:pStyle w:val="NoSpacing"/>
                  <w:rPr>
                    <w:rFonts w:ascii="Arial" w:hAnsi="Arial" w:cs="Arial"/>
                    <w:color w:val="FFFFFF" w:themeColor="background1"/>
                    <w:sz w:val="36"/>
                    <w:szCs w:val="36"/>
                  </w:rPr>
                </w:pPr>
                <w:r>
                  <w:rPr>
                    <w:rFonts w:ascii="Arial" w:hAnsi="Arial" w:cs="Arial"/>
                    <w:sz w:val="36"/>
                    <w:szCs w:val="36"/>
                  </w:rPr>
                  <w:t>Colville Building</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3F4864" w:rsidRPr="0019215C" w:rsidRDefault="003F4864" w:rsidP="006F5082">
                <w:pPr>
                  <w:pStyle w:val="NoSpacing"/>
                  <w:spacing w:line="276" w:lineRule="auto"/>
                  <w:rPr>
                    <w:rFonts w:asciiTheme="majorHAnsi" w:eastAsiaTheme="majorEastAsia" w:hAnsiTheme="majorHAnsi" w:cstheme="majorHAnsi"/>
                    <w:sz w:val="28"/>
                    <w:szCs w:val="28"/>
                  </w:rPr>
                </w:pP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1E7083" w:rsidRPr="00195E2F" w:rsidRDefault="00E15534" w:rsidP="00195E2F">
          <w:pPr>
            <w:pStyle w:val="ListParagraph"/>
            <w:numPr>
              <w:ilvl w:val="2"/>
              <w:numId w:val="17"/>
            </w:numPr>
            <w:rPr>
              <w:rFonts w:cstheme="minorHAnsi"/>
              <w:sz w:val="22"/>
              <w:szCs w:val="22"/>
            </w:rPr>
          </w:pPr>
          <w:r w:rsidRPr="00E15534">
            <w:rPr>
              <w:rFonts w:cstheme="minorHAnsi"/>
              <w:sz w:val="22"/>
              <w:szCs w:val="22"/>
            </w:rPr>
            <w:t xml:space="preserve">The concourse </w:t>
          </w:r>
          <w:r w:rsidR="00195E2F">
            <w:rPr>
              <w:rFonts w:cstheme="minorHAnsi"/>
              <w:sz w:val="22"/>
              <w:szCs w:val="22"/>
            </w:rPr>
            <w:t xml:space="preserve">outside and </w:t>
          </w:r>
          <w:r w:rsidRPr="00E15534">
            <w:rPr>
              <w:rFonts w:cstheme="minorHAnsi"/>
              <w:sz w:val="22"/>
              <w:szCs w:val="22"/>
            </w:rPr>
            <w:t>opposite the</w:t>
          </w:r>
          <w:r w:rsidR="00195E2F" w:rsidRPr="00195E2F">
            <w:t xml:space="preserve"> </w:t>
          </w:r>
          <w:r w:rsidR="00195E2F" w:rsidRPr="00195E2F">
            <w:rPr>
              <w:rFonts w:cstheme="minorHAnsi"/>
              <w:sz w:val="22"/>
              <w:szCs w:val="22"/>
            </w:rPr>
            <w:t>main entrance on North Portland Street</w:t>
          </w:r>
          <w:r w:rsidRPr="00E15534">
            <w:rPr>
              <w:rFonts w:cstheme="minorHAnsi"/>
              <w:sz w:val="22"/>
              <w:szCs w:val="22"/>
            </w:rPr>
            <w:t xml:space="preserve"> </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4E511D"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4E511D" w:rsidRPr="004E511D">
      <w:rPr>
        <w:noProof/>
        <w:sz w:val="24"/>
        <w:szCs w:val="24"/>
      </w:rPr>
      <w:t>4</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4E511D"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4E511D">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11D"/>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1558"/>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A9F87E99-0768-43E6-8C82-CD071596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8AE10CE4-E813-4559-B306-00B23930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cp:lastModifiedBy>Wesley Boulstridge</cp:lastModifiedBy>
  <cp:revision>3</cp:revision>
  <cp:lastPrinted>2015-08-12T15:20:00Z</cp:lastPrinted>
  <dcterms:created xsi:type="dcterms:W3CDTF">2015-08-17T15:06:00Z</dcterms:created>
  <dcterms:modified xsi:type="dcterms:W3CDTF">2015-08-26T13:42:00Z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