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E797A" w14:textId="59EA5342" w:rsidR="00140057" w:rsidRDefault="00180C6A" w:rsidP="00180C6A">
      <w:pPr>
        <w:tabs>
          <w:tab w:val="left" w:pos="1545"/>
        </w:tabs>
        <w:ind w:right="-164"/>
        <w:jc w:val="right"/>
        <w:rPr>
          <w:rFonts w:ascii="Times New Roman" w:hAnsi="Times New Roman" w:cs="Times New Roman"/>
          <w:sz w:val="24"/>
          <w:szCs w:val="24"/>
        </w:rPr>
      </w:pPr>
      <w:r>
        <w:rPr>
          <w:rFonts w:ascii="Times New Roman" w:hAnsi="Times New Roman" w:cs="Times New Roman"/>
          <w:noProof/>
          <w:sz w:val="24"/>
          <w:szCs w:val="24"/>
          <w:lang w:eastAsia="en-GB"/>
        </w:rPr>
        <w:drawing>
          <wp:anchor distT="36576" distB="36576" distL="36576" distR="36576" simplePos="0" relativeHeight="251660288" behindDoc="0" locked="0" layoutInCell="1" allowOverlap="1" wp14:anchorId="45326B72" wp14:editId="040B7C76">
            <wp:simplePos x="0" y="0"/>
            <wp:positionH relativeFrom="margin">
              <wp:posOffset>76200</wp:posOffset>
            </wp:positionH>
            <wp:positionV relativeFrom="paragraph">
              <wp:posOffset>0</wp:posOffset>
            </wp:positionV>
            <wp:extent cx="981075" cy="108929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1075" cy="108929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771B8">
        <w:rPr>
          <w:rFonts w:ascii="Times New Roman" w:hAnsi="Times New Roman" w:cs="Times New Roman"/>
          <w:noProof/>
          <w:sz w:val="24"/>
          <w:szCs w:val="24"/>
          <w:lang w:eastAsia="en-GB"/>
        </w:rPr>
        <w:drawing>
          <wp:anchor distT="0" distB="0" distL="114300" distR="114300" simplePos="0" relativeHeight="251662336" behindDoc="0" locked="0" layoutInCell="1" allowOverlap="1" wp14:anchorId="0EAE8F64" wp14:editId="55837458">
            <wp:simplePos x="0" y="0"/>
            <wp:positionH relativeFrom="margin">
              <wp:posOffset>1184275</wp:posOffset>
            </wp:positionH>
            <wp:positionV relativeFrom="paragraph">
              <wp:posOffset>8890</wp:posOffset>
            </wp:positionV>
            <wp:extent cx="1682750" cy="463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82750" cy="463550"/>
                    </a:xfrm>
                    <a:prstGeom prst="rect">
                      <a:avLst/>
                    </a:prstGeom>
                  </pic:spPr>
                </pic:pic>
              </a:graphicData>
            </a:graphic>
          </wp:anchor>
        </w:drawing>
      </w:r>
      <w:r>
        <w:rPr>
          <w:rFonts w:ascii="Times New Roman" w:hAnsi="Times New Roman" w:cs="Times New Roman"/>
          <w:noProof/>
          <w:sz w:val="24"/>
          <w:szCs w:val="24"/>
          <w:lang w:eastAsia="en-GB"/>
        </w:rPr>
        <w:drawing>
          <wp:anchor distT="36576" distB="36576" distL="36576" distR="36576" simplePos="0" relativeHeight="251658240" behindDoc="0" locked="0" layoutInCell="1" allowOverlap="1" wp14:anchorId="266F30C2" wp14:editId="0BB657F3">
            <wp:simplePos x="0" y="0"/>
            <wp:positionH relativeFrom="column">
              <wp:posOffset>1603375</wp:posOffset>
            </wp:positionH>
            <wp:positionV relativeFrom="paragraph">
              <wp:posOffset>-635</wp:posOffset>
            </wp:positionV>
            <wp:extent cx="2209800" cy="1724025"/>
            <wp:effectExtent l="0" t="0" r="0" b="9525"/>
            <wp:wrapNone/>
            <wp:docPr id="2" name="Picture 2" descr="SC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L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1724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53459">
        <w:rPr>
          <w:rFonts w:ascii="Times New Roman" w:hAnsi="Times New Roman" w:cs="Times New Roman"/>
          <w:sz w:val="24"/>
          <w:szCs w:val="24"/>
        </w:rPr>
        <w:tab/>
      </w:r>
      <w:r w:rsidR="00953459">
        <w:rPr>
          <w:rFonts w:ascii="Calibri" w:hAnsi="Calibri" w:cs="Calibri"/>
          <w:b/>
          <w:bCs/>
          <w:noProof/>
          <w:sz w:val="36"/>
          <w:szCs w:val="36"/>
          <w:lang w:eastAsia="en-GB"/>
        </w:rPr>
        <w:drawing>
          <wp:inline distT="0" distB="0" distL="0" distR="0" wp14:anchorId="458B4EC1" wp14:editId="640943E4">
            <wp:extent cx="3285765"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1822" cy="1114063"/>
                    </a:xfrm>
                    <a:prstGeom prst="rect">
                      <a:avLst/>
                    </a:prstGeom>
                  </pic:spPr>
                </pic:pic>
              </a:graphicData>
            </a:graphic>
          </wp:inline>
        </w:drawing>
      </w:r>
    </w:p>
    <w:p w14:paraId="34270A59" w14:textId="1B0A3019" w:rsidR="00140057" w:rsidRDefault="00140057">
      <w:pPr>
        <w:rPr>
          <w:rFonts w:ascii="Times New Roman" w:hAnsi="Times New Roman" w:cs="Times New Roman"/>
          <w:sz w:val="24"/>
          <w:szCs w:val="24"/>
        </w:rPr>
      </w:pPr>
    </w:p>
    <w:p w14:paraId="7D3E8B3C" w14:textId="77777777" w:rsidR="000B07AC" w:rsidRDefault="000B07AC"/>
    <w:p w14:paraId="6AA0FB8A" w14:textId="77777777" w:rsidR="000B07AC" w:rsidRDefault="000B07AC"/>
    <w:p w14:paraId="58C4C7AE" w14:textId="5B9145DE" w:rsidR="00344EEB" w:rsidRPr="000B07AC" w:rsidRDefault="000B07AC" w:rsidP="000B07AC">
      <w:pPr>
        <w:jc w:val="center"/>
        <w:rPr>
          <w:color w:val="70AD47" w:themeColor="accent6"/>
          <w:sz w:val="28"/>
          <w:szCs w:val="28"/>
        </w:rPr>
      </w:pPr>
      <w:r w:rsidRPr="000B07AC">
        <w:rPr>
          <w:color w:val="70AD47" w:themeColor="accent6"/>
          <w:sz w:val="28"/>
          <w:szCs w:val="28"/>
        </w:rPr>
        <w:t>Strathclyde Centre for Antitrust Law and Empirical Study (SCALES), together with the Centre for Business law and Practice (CBLP), University of Leeds and the Lancaster University Law School Research Seminar Series</w:t>
      </w:r>
    </w:p>
    <w:p w14:paraId="03E640D7" w14:textId="7840D563" w:rsidR="00140057" w:rsidRDefault="00140057" w:rsidP="00953459">
      <w:pPr>
        <w:pStyle w:val="Title"/>
        <w:widowControl w:val="0"/>
        <w:jc w:val="left"/>
        <w:rPr>
          <w:rFonts w:ascii="Calibri" w:hAnsi="Calibri" w:cs="Calibri"/>
          <w:b/>
          <w:bCs/>
          <w:sz w:val="36"/>
          <w:szCs w:val="36"/>
          <w:lang w:val="en-US"/>
          <w14:ligatures w14:val="none"/>
        </w:rPr>
      </w:pPr>
    </w:p>
    <w:p w14:paraId="335238EB" w14:textId="77777777" w:rsidR="00140057" w:rsidRDefault="00140057" w:rsidP="00953459">
      <w:pPr>
        <w:pStyle w:val="Title"/>
        <w:widowControl w:val="0"/>
        <w:ind w:right="545"/>
        <w:rPr>
          <w:rFonts w:ascii="Calibri" w:hAnsi="Calibri" w:cs="Calibri"/>
          <w:b/>
          <w:bCs/>
          <w:sz w:val="36"/>
          <w:szCs w:val="36"/>
          <w:lang w:val="en-US"/>
          <w14:ligatures w14:val="none"/>
        </w:rPr>
      </w:pPr>
      <w:r w:rsidRPr="00140057">
        <w:rPr>
          <w:rFonts w:ascii="Calibri" w:hAnsi="Calibri" w:cs="Calibri"/>
          <w:b/>
          <w:bCs/>
          <w:i/>
          <w:sz w:val="36"/>
          <w:szCs w:val="36"/>
          <w:lang w:val="en-US"/>
          <w14:ligatures w14:val="none"/>
        </w:rPr>
        <w:t>The UK Competition Regime: A Twenty Year Retrospective</w:t>
      </w:r>
      <w:r>
        <w:rPr>
          <w:rFonts w:ascii="Calibri" w:hAnsi="Calibri" w:cs="Calibri"/>
          <w:b/>
          <w:bCs/>
          <w:sz w:val="36"/>
          <w:szCs w:val="36"/>
          <w:lang w:val="en-US"/>
          <w14:ligatures w14:val="none"/>
        </w:rPr>
        <w:t xml:space="preserve"> (OUP, 2021) Rodger, Whelan and MacCulloch eds</w:t>
      </w:r>
    </w:p>
    <w:p w14:paraId="745E6DC7" w14:textId="77777777" w:rsidR="00140057" w:rsidRDefault="00140057" w:rsidP="00140057">
      <w:pPr>
        <w:pStyle w:val="Title"/>
        <w:widowControl w:val="0"/>
        <w:rPr>
          <w:rFonts w:ascii="Calibri" w:hAnsi="Calibri" w:cs="Calibri"/>
          <w:b/>
          <w:bCs/>
          <w:sz w:val="36"/>
          <w:szCs w:val="36"/>
          <w:lang w:val="en-US"/>
          <w14:ligatures w14:val="none"/>
        </w:rPr>
      </w:pPr>
      <w:r>
        <w:rPr>
          <w:rFonts w:ascii="Calibri" w:hAnsi="Calibri" w:cs="Calibri"/>
          <w:b/>
          <w:bCs/>
          <w:sz w:val="36"/>
          <w:szCs w:val="36"/>
          <w:lang w:val="en-US"/>
          <w14:ligatures w14:val="none"/>
        </w:rPr>
        <w:t>Book Launch Event</w:t>
      </w:r>
    </w:p>
    <w:p w14:paraId="3BB341AE" w14:textId="28DD6186" w:rsidR="00140057" w:rsidRPr="000B07AC" w:rsidRDefault="00140057" w:rsidP="000B07AC">
      <w:pPr>
        <w:pStyle w:val="Title"/>
        <w:widowControl w:val="0"/>
        <w:rPr>
          <w:rFonts w:ascii="Calibri" w:hAnsi="Calibri" w:cs="Calibri"/>
          <w:b/>
          <w:bCs/>
          <w:sz w:val="36"/>
          <w:szCs w:val="36"/>
          <w:lang w:val="en-US"/>
          <w14:ligatures w14:val="none"/>
        </w:rPr>
      </w:pPr>
      <w:r>
        <w:rPr>
          <w:rFonts w:ascii="Calibri" w:hAnsi="Calibri" w:cs="Calibri"/>
          <w:b/>
          <w:bCs/>
          <w:sz w:val="36"/>
          <w:szCs w:val="36"/>
          <w:lang w:val="en-US"/>
          <w14:ligatures w14:val="none"/>
        </w:rPr>
        <w:t>21 May 2021</w:t>
      </w:r>
      <w:r w:rsidR="001D2727">
        <w:rPr>
          <w:rFonts w:ascii="Calibri" w:hAnsi="Calibri" w:cs="Calibri"/>
          <w:b/>
          <w:bCs/>
          <w:sz w:val="36"/>
          <w:szCs w:val="36"/>
          <w:lang w:val="en-US"/>
          <w14:ligatures w14:val="none"/>
        </w:rPr>
        <w:t>, 12 noon- 2pm</w:t>
      </w:r>
    </w:p>
    <w:p w14:paraId="66EB75E4" w14:textId="77777777" w:rsidR="002F698B" w:rsidRPr="002F698B" w:rsidRDefault="002F698B" w:rsidP="002F698B">
      <w:pPr>
        <w:widowControl w:val="0"/>
        <w:jc w:val="center"/>
        <w:rPr>
          <w:b/>
          <w:bCs/>
          <w:sz w:val="48"/>
          <w:szCs w:val="48"/>
        </w:rPr>
      </w:pPr>
      <w:bookmarkStart w:id="0" w:name="_GoBack"/>
      <w:r w:rsidRPr="002F698B">
        <w:rPr>
          <w:b/>
          <w:bCs/>
          <w:sz w:val="48"/>
          <w:szCs w:val="48"/>
        </w:rPr>
        <w:t>Programme</w:t>
      </w:r>
    </w:p>
    <w:p w14:paraId="7216A92E" w14:textId="77777777" w:rsidR="002F698B" w:rsidRDefault="002F698B" w:rsidP="002F698B">
      <w:pPr>
        <w:widowControl w:val="0"/>
        <w:tabs>
          <w:tab w:val="left" w:pos="285"/>
          <w:tab w:val="left" w:pos="1735"/>
        </w:tabs>
        <w:spacing w:after="0"/>
        <w:rPr>
          <w:sz w:val="24"/>
          <w:szCs w:val="24"/>
        </w:rPr>
      </w:pPr>
      <w:r>
        <w:t> </w:t>
      </w:r>
      <w:r>
        <w:rPr>
          <w:sz w:val="24"/>
          <w:szCs w:val="24"/>
        </w:rPr>
        <w:t xml:space="preserve">12.00 </w:t>
      </w:r>
      <w:r>
        <w:rPr>
          <w:sz w:val="24"/>
          <w:szCs w:val="24"/>
        </w:rPr>
        <w:tab/>
      </w:r>
      <w:r>
        <w:rPr>
          <w:b/>
          <w:bCs/>
          <w:sz w:val="24"/>
          <w:szCs w:val="24"/>
        </w:rPr>
        <w:t>Welcome/Book Introduction</w:t>
      </w:r>
    </w:p>
    <w:p w14:paraId="6A65457D" w14:textId="77777777" w:rsidR="002F698B" w:rsidRDefault="002F698B" w:rsidP="002F698B">
      <w:pPr>
        <w:widowControl w:val="0"/>
        <w:tabs>
          <w:tab w:val="left" w:pos="285"/>
          <w:tab w:val="left" w:pos="1578"/>
          <w:tab w:val="left" w:pos="1735"/>
        </w:tabs>
        <w:spacing w:after="0"/>
        <w:rPr>
          <w:sz w:val="24"/>
          <w:szCs w:val="24"/>
        </w:rPr>
      </w:pPr>
      <w:r>
        <w:rPr>
          <w:sz w:val="24"/>
          <w:szCs w:val="24"/>
        </w:rPr>
        <w:t> </w:t>
      </w:r>
    </w:p>
    <w:p w14:paraId="4A27CF4F" w14:textId="77777777" w:rsidR="002F698B" w:rsidRDefault="002F698B" w:rsidP="002F698B">
      <w:pPr>
        <w:widowControl w:val="0"/>
        <w:tabs>
          <w:tab w:val="left" w:pos="285"/>
          <w:tab w:val="left" w:pos="1578"/>
          <w:tab w:val="left" w:pos="1735"/>
        </w:tabs>
        <w:spacing w:after="0"/>
        <w:rPr>
          <w:sz w:val="24"/>
          <w:szCs w:val="24"/>
        </w:rPr>
      </w:pPr>
      <w:r>
        <w:rPr>
          <w:sz w:val="24"/>
          <w:szCs w:val="24"/>
        </w:rPr>
        <w:t>12.10</w:t>
      </w:r>
      <w:r>
        <w:rPr>
          <w:sz w:val="24"/>
          <w:szCs w:val="24"/>
        </w:rPr>
        <w:tab/>
      </w:r>
      <w:r>
        <w:rPr>
          <w:b/>
          <w:bCs/>
          <w:sz w:val="24"/>
          <w:szCs w:val="24"/>
        </w:rPr>
        <w:t>UK Competition Law Institutions</w:t>
      </w:r>
    </w:p>
    <w:p w14:paraId="7448F00C" w14:textId="77777777" w:rsidR="002F698B" w:rsidRDefault="002F698B" w:rsidP="002F698B">
      <w:pPr>
        <w:widowControl w:val="0"/>
        <w:tabs>
          <w:tab w:val="left" w:pos="285"/>
          <w:tab w:val="left" w:pos="1578"/>
          <w:tab w:val="left" w:pos="1735"/>
        </w:tabs>
        <w:spacing w:after="0"/>
        <w:rPr>
          <w:color w:val="339933"/>
          <w:sz w:val="24"/>
          <w:szCs w:val="24"/>
        </w:rPr>
      </w:pPr>
      <w:r>
        <w:rPr>
          <w:sz w:val="24"/>
          <w:szCs w:val="24"/>
        </w:rPr>
        <w:tab/>
      </w:r>
      <w:r>
        <w:rPr>
          <w:color w:val="339933"/>
          <w:sz w:val="24"/>
          <w:szCs w:val="24"/>
        </w:rPr>
        <w:t>Peter Freeman, Bruce Lyons, Niamh Dunne and Liza Lovdahl-Gormsen</w:t>
      </w:r>
    </w:p>
    <w:p w14:paraId="2D2E0135" w14:textId="77777777" w:rsidR="002F698B" w:rsidRDefault="002F698B" w:rsidP="002F698B">
      <w:pPr>
        <w:widowControl w:val="0"/>
        <w:tabs>
          <w:tab w:val="left" w:pos="285"/>
          <w:tab w:val="left" w:pos="1578"/>
          <w:tab w:val="left" w:pos="1735"/>
        </w:tabs>
        <w:spacing w:after="0"/>
        <w:rPr>
          <w:color w:val="339933"/>
          <w:sz w:val="24"/>
          <w:szCs w:val="24"/>
        </w:rPr>
      </w:pPr>
    </w:p>
    <w:p w14:paraId="58F12A0A" w14:textId="77777777" w:rsidR="002F698B" w:rsidRDefault="002F698B" w:rsidP="002F698B">
      <w:pPr>
        <w:widowControl w:val="0"/>
        <w:tabs>
          <w:tab w:val="left" w:pos="285"/>
          <w:tab w:val="left" w:pos="1578"/>
          <w:tab w:val="left" w:pos="1735"/>
        </w:tabs>
        <w:spacing w:after="0"/>
        <w:rPr>
          <w:sz w:val="24"/>
          <w:szCs w:val="24"/>
        </w:rPr>
      </w:pPr>
      <w:r>
        <w:rPr>
          <w:sz w:val="24"/>
          <w:szCs w:val="24"/>
        </w:rPr>
        <w:t>12.45</w:t>
      </w:r>
      <w:r>
        <w:rPr>
          <w:sz w:val="24"/>
          <w:szCs w:val="24"/>
        </w:rPr>
        <w:tab/>
      </w:r>
      <w:r>
        <w:rPr>
          <w:b/>
          <w:bCs/>
          <w:sz w:val="24"/>
          <w:szCs w:val="24"/>
        </w:rPr>
        <w:t>UK Competition Law Substantive Rules</w:t>
      </w:r>
    </w:p>
    <w:p w14:paraId="36E6AF07" w14:textId="507EC2BF" w:rsidR="002F698B" w:rsidRDefault="002F698B" w:rsidP="002F698B">
      <w:pPr>
        <w:widowControl w:val="0"/>
        <w:tabs>
          <w:tab w:val="left" w:pos="285"/>
          <w:tab w:val="left" w:pos="1578"/>
          <w:tab w:val="left" w:pos="1735"/>
        </w:tabs>
        <w:spacing w:after="0"/>
        <w:rPr>
          <w:color w:val="339933"/>
          <w:sz w:val="24"/>
          <w:szCs w:val="24"/>
        </w:rPr>
      </w:pPr>
      <w:r>
        <w:rPr>
          <w:sz w:val="24"/>
          <w:szCs w:val="24"/>
        </w:rPr>
        <w:tab/>
      </w:r>
      <w:r>
        <w:rPr>
          <w:color w:val="339933"/>
          <w:sz w:val="24"/>
          <w:szCs w:val="24"/>
        </w:rPr>
        <w:t xml:space="preserve">Richard Whish, Alison Jones, </w:t>
      </w:r>
      <w:r w:rsidR="00F556C7">
        <w:rPr>
          <w:color w:val="339933"/>
          <w:sz w:val="24"/>
          <w:szCs w:val="24"/>
        </w:rPr>
        <w:t xml:space="preserve">Robert O’Donoghue, </w:t>
      </w:r>
      <w:r>
        <w:rPr>
          <w:color w:val="339933"/>
          <w:sz w:val="24"/>
          <w:szCs w:val="24"/>
        </w:rPr>
        <w:t>David Reader and Ch</w:t>
      </w:r>
      <w:r w:rsidR="00AF3B93">
        <w:rPr>
          <w:color w:val="339933"/>
          <w:sz w:val="24"/>
          <w:szCs w:val="24"/>
        </w:rPr>
        <w:t>r</w:t>
      </w:r>
      <w:r>
        <w:rPr>
          <w:color w:val="339933"/>
          <w:sz w:val="24"/>
          <w:szCs w:val="24"/>
        </w:rPr>
        <w:t>istian Ahlborn</w:t>
      </w:r>
      <w:r w:rsidR="00F556C7">
        <w:rPr>
          <w:color w:val="339933"/>
          <w:sz w:val="24"/>
          <w:szCs w:val="24"/>
        </w:rPr>
        <w:t>/Will Leslie</w:t>
      </w:r>
    </w:p>
    <w:p w14:paraId="4AD580E0" w14:textId="77777777" w:rsidR="002F698B" w:rsidRDefault="002F698B" w:rsidP="002F698B">
      <w:pPr>
        <w:widowControl w:val="0"/>
        <w:tabs>
          <w:tab w:val="left" w:pos="285"/>
          <w:tab w:val="left" w:pos="1578"/>
          <w:tab w:val="left" w:pos="1735"/>
        </w:tabs>
        <w:spacing w:after="0"/>
        <w:rPr>
          <w:color w:val="000000"/>
          <w:sz w:val="24"/>
          <w:szCs w:val="24"/>
        </w:rPr>
      </w:pPr>
    </w:p>
    <w:p w14:paraId="7BBDE956" w14:textId="1AA553D9" w:rsidR="002F698B" w:rsidRDefault="00F556C7" w:rsidP="002F698B">
      <w:pPr>
        <w:widowControl w:val="0"/>
        <w:tabs>
          <w:tab w:val="left" w:pos="285"/>
          <w:tab w:val="left" w:pos="1578"/>
          <w:tab w:val="left" w:pos="1735"/>
        </w:tabs>
        <w:spacing w:after="0"/>
        <w:rPr>
          <w:b/>
          <w:bCs/>
          <w:sz w:val="24"/>
          <w:szCs w:val="24"/>
        </w:rPr>
      </w:pPr>
      <w:r>
        <w:rPr>
          <w:sz w:val="24"/>
          <w:szCs w:val="24"/>
        </w:rPr>
        <w:t>13.25</w:t>
      </w:r>
      <w:r w:rsidR="002F698B">
        <w:rPr>
          <w:sz w:val="24"/>
          <w:szCs w:val="24"/>
        </w:rPr>
        <w:t xml:space="preserve"> </w:t>
      </w:r>
      <w:r w:rsidR="002F698B">
        <w:rPr>
          <w:sz w:val="24"/>
          <w:szCs w:val="24"/>
        </w:rPr>
        <w:tab/>
      </w:r>
      <w:r w:rsidR="002F698B">
        <w:rPr>
          <w:b/>
          <w:bCs/>
          <w:sz w:val="24"/>
          <w:szCs w:val="24"/>
        </w:rPr>
        <w:t>UK Competition Law and Enforcement</w:t>
      </w:r>
    </w:p>
    <w:p w14:paraId="3FAD91E3" w14:textId="77777777" w:rsidR="002F698B" w:rsidRPr="002F698B" w:rsidRDefault="002F698B" w:rsidP="002F698B">
      <w:pPr>
        <w:widowControl w:val="0"/>
        <w:tabs>
          <w:tab w:val="left" w:pos="285"/>
          <w:tab w:val="left" w:pos="1578"/>
          <w:tab w:val="left" w:pos="1735"/>
        </w:tabs>
        <w:spacing w:after="0"/>
        <w:rPr>
          <w:color w:val="339933"/>
          <w:sz w:val="24"/>
          <w:szCs w:val="24"/>
        </w:rPr>
      </w:pPr>
      <w:r>
        <w:rPr>
          <w:sz w:val="24"/>
          <w:szCs w:val="24"/>
        </w:rPr>
        <w:tab/>
      </w:r>
      <w:r>
        <w:rPr>
          <w:color w:val="339933"/>
          <w:sz w:val="24"/>
          <w:szCs w:val="24"/>
        </w:rPr>
        <w:t>Arianna Andreangeli, Barry Rodger, Angus MacCulloch and Peter Whelan</w:t>
      </w:r>
    </w:p>
    <w:p w14:paraId="00C27EDF" w14:textId="77777777" w:rsidR="002F698B" w:rsidRDefault="002F698B" w:rsidP="002F698B">
      <w:pPr>
        <w:widowControl w:val="0"/>
        <w:tabs>
          <w:tab w:val="left" w:pos="285"/>
          <w:tab w:val="left" w:pos="1578"/>
          <w:tab w:val="left" w:pos="1735"/>
        </w:tabs>
        <w:spacing w:after="0"/>
        <w:rPr>
          <w:sz w:val="24"/>
          <w:szCs w:val="24"/>
        </w:rPr>
      </w:pPr>
      <w:r>
        <w:rPr>
          <w:sz w:val="24"/>
          <w:szCs w:val="24"/>
        </w:rPr>
        <w:lastRenderedPageBreak/>
        <w:t> </w:t>
      </w:r>
    </w:p>
    <w:p w14:paraId="4089D67A" w14:textId="77777777" w:rsidR="002F698B" w:rsidRDefault="002F698B" w:rsidP="002F698B">
      <w:pPr>
        <w:widowControl w:val="0"/>
        <w:tabs>
          <w:tab w:val="left" w:pos="285"/>
          <w:tab w:val="left" w:pos="1578"/>
          <w:tab w:val="left" w:pos="1735"/>
        </w:tabs>
        <w:spacing w:after="0"/>
        <w:rPr>
          <w:i/>
          <w:iCs/>
          <w:sz w:val="24"/>
          <w:szCs w:val="24"/>
        </w:rPr>
      </w:pPr>
      <w:r>
        <w:rPr>
          <w:sz w:val="24"/>
          <w:szCs w:val="24"/>
        </w:rPr>
        <w:t xml:space="preserve">13.55-14.00 </w:t>
      </w:r>
      <w:r>
        <w:rPr>
          <w:sz w:val="24"/>
          <w:szCs w:val="24"/>
        </w:rPr>
        <w:tab/>
      </w:r>
      <w:r>
        <w:rPr>
          <w:b/>
          <w:bCs/>
          <w:sz w:val="24"/>
          <w:szCs w:val="24"/>
        </w:rPr>
        <w:t>Concluding Remarks</w:t>
      </w:r>
    </w:p>
    <w:p w14:paraId="02F5D945" w14:textId="77777777" w:rsidR="002F698B" w:rsidRDefault="002F698B" w:rsidP="002F698B">
      <w:pPr>
        <w:widowControl w:val="0"/>
        <w:tabs>
          <w:tab w:val="left" w:pos="285"/>
          <w:tab w:val="left" w:pos="1578"/>
          <w:tab w:val="left" w:pos="1735"/>
        </w:tabs>
        <w:spacing w:after="0"/>
        <w:rPr>
          <w:color w:val="339933"/>
          <w:sz w:val="24"/>
          <w:szCs w:val="24"/>
        </w:rPr>
      </w:pPr>
    </w:p>
    <w:p w14:paraId="2C9CEDEE" w14:textId="77777777" w:rsidR="002F698B" w:rsidRDefault="002F698B" w:rsidP="002F698B">
      <w:pPr>
        <w:widowControl w:val="0"/>
        <w:rPr>
          <w:color w:val="000000"/>
          <w:sz w:val="20"/>
          <w:szCs w:val="20"/>
        </w:rPr>
      </w:pPr>
      <w:r>
        <w:t> </w:t>
      </w:r>
    </w:p>
    <w:p w14:paraId="1B609058" w14:textId="1A83251F" w:rsidR="002F698B" w:rsidRPr="004D42D0" w:rsidRDefault="001D2727" w:rsidP="002F698B">
      <w:pPr>
        <w:widowControl w:val="0"/>
      </w:pPr>
      <w:r w:rsidRPr="004D42D0">
        <w:t>Format will be short 5 minute presentations by each contributor, followed</w:t>
      </w:r>
      <w:r w:rsidR="0090165A">
        <w:t xml:space="preserve"> by</w:t>
      </w:r>
      <w:r w:rsidRPr="004D42D0">
        <w:t xml:space="preserve"> 15 minutes Q and A in each session.</w:t>
      </w:r>
    </w:p>
    <w:p w14:paraId="628E3205" w14:textId="77777777" w:rsidR="002F698B" w:rsidRDefault="001D2727">
      <w:r>
        <w:t>The book launch event will be a zoom event.</w:t>
      </w:r>
    </w:p>
    <w:p w14:paraId="5B7158F9" w14:textId="39D5177B" w:rsidR="002F698B" w:rsidRPr="000B07AC" w:rsidRDefault="001D2727" w:rsidP="000B07AC">
      <w:pPr>
        <w:rPr>
          <w:b/>
        </w:rPr>
      </w:pPr>
      <w:r w:rsidRPr="004D42D0">
        <w:rPr>
          <w:b/>
        </w:rPr>
        <w:t>Registration and zoom details provided on request to barry.j.rodger@strath.ac.uk</w:t>
      </w:r>
      <w:bookmarkEnd w:id="0"/>
    </w:p>
    <w:sectPr w:rsidR="002F698B" w:rsidRPr="000B07AC" w:rsidSect="00953459">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57"/>
    <w:rsid w:val="000B07AC"/>
    <w:rsid w:val="00140057"/>
    <w:rsid w:val="00180C6A"/>
    <w:rsid w:val="001D2727"/>
    <w:rsid w:val="002B6D7B"/>
    <w:rsid w:val="002F698B"/>
    <w:rsid w:val="0033574D"/>
    <w:rsid w:val="004D42D0"/>
    <w:rsid w:val="005D5BC0"/>
    <w:rsid w:val="00777656"/>
    <w:rsid w:val="008D1CA1"/>
    <w:rsid w:val="0090165A"/>
    <w:rsid w:val="00953459"/>
    <w:rsid w:val="00AF3B93"/>
    <w:rsid w:val="00B84FBA"/>
    <w:rsid w:val="00F5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F64F"/>
  <w15:chartTrackingRefBased/>
  <w15:docId w15:val="{7C8CD133-9F01-4FB2-9C9C-BC537C6F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140057"/>
    <w:pPr>
      <w:spacing w:after="0" w:line="240" w:lineRule="auto"/>
      <w:jc w:val="center"/>
    </w:pPr>
    <w:rPr>
      <w:rFonts w:ascii="Franklin Gothic Demi Cond" w:eastAsia="Times New Roman" w:hAnsi="Franklin Gothic Demi Cond" w:cs="Times New Roman"/>
      <w:color w:val="000000"/>
      <w:kern w:val="28"/>
      <w:sz w:val="144"/>
      <w:szCs w:val="144"/>
      <w:lang w:eastAsia="en-GB"/>
      <w14:ligatures w14:val="standard"/>
      <w14:cntxtAlts/>
    </w:rPr>
  </w:style>
  <w:style w:type="character" w:customStyle="1" w:styleId="TitleChar">
    <w:name w:val="Title Char"/>
    <w:basedOn w:val="DefaultParagraphFont"/>
    <w:link w:val="Title"/>
    <w:uiPriority w:val="10"/>
    <w:rsid w:val="00140057"/>
    <w:rPr>
      <w:rFonts w:ascii="Franklin Gothic Demi Cond" w:eastAsia="Times New Roman" w:hAnsi="Franklin Gothic Demi Cond" w:cs="Times New Roman"/>
      <w:color w:val="000000"/>
      <w:kern w:val="28"/>
      <w:sz w:val="144"/>
      <w:szCs w:val="144"/>
      <w:lang w:eastAsia="en-GB"/>
      <w14:ligatures w14:val="standard"/>
      <w14:cntxtAlts/>
    </w:rPr>
  </w:style>
  <w:style w:type="character" w:styleId="Hyperlink">
    <w:name w:val="Hyperlink"/>
    <w:basedOn w:val="DefaultParagraphFont"/>
    <w:uiPriority w:val="99"/>
    <w:semiHidden/>
    <w:unhideWhenUsed/>
    <w:rsid w:val="002F6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52872">
      <w:bodyDiv w:val="1"/>
      <w:marLeft w:val="0"/>
      <w:marRight w:val="0"/>
      <w:marTop w:val="0"/>
      <w:marBottom w:val="0"/>
      <w:divBdr>
        <w:top w:val="none" w:sz="0" w:space="0" w:color="auto"/>
        <w:left w:val="none" w:sz="0" w:space="0" w:color="auto"/>
        <w:bottom w:val="none" w:sz="0" w:space="0" w:color="auto"/>
        <w:right w:val="none" w:sz="0" w:space="0" w:color="auto"/>
      </w:divBdr>
    </w:div>
    <w:div w:id="712313507">
      <w:bodyDiv w:val="1"/>
      <w:marLeft w:val="0"/>
      <w:marRight w:val="0"/>
      <w:marTop w:val="0"/>
      <w:marBottom w:val="0"/>
      <w:divBdr>
        <w:top w:val="none" w:sz="0" w:space="0" w:color="auto"/>
        <w:left w:val="none" w:sz="0" w:space="0" w:color="auto"/>
        <w:bottom w:val="none" w:sz="0" w:space="0" w:color="auto"/>
        <w:right w:val="none" w:sz="0" w:space="0" w:color="auto"/>
      </w:divBdr>
    </w:div>
    <w:div w:id="911040288">
      <w:bodyDiv w:val="1"/>
      <w:marLeft w:val="0"/>
      <w:marRight w:val="0"/>
      <w:marTop w:val="0"/>
      <w:marBottom w:val="0"/>
      <w:divBdr>
        <w:top w:val="none" w:sz="0" w:space="0" w:color="auto"/>
        <w:left w:val="none" w:sz="0" w:space="0" w:color="auto"/>
        <w:bottom w:val="none" w:sz="0" w:space="0" w:color="auto"/>
        <w:right w:val="none" w:sz="0" w:space="0" w:color="auto"/>
      </w:divBdr>
    </w:div>
    <w:div w:id="1226070732">
      <w:bodyDiv w:val="1"/>
      <w:marLeft w:val="0"/>
      <w:marRight w:val="0"/>
      <w:marTop w:val="0"/>
      <w:marBottom w:val="0"/>
      <w:divBdr>
        <w:top w:val="none" w:sz="0" w:space="0" w:color="auto"/>
        <w:left w:val="none" w:sz="0" w:space="0" w:color="auto"/>
        <w:bottom w:val="none" w:sz="0" w:space="0" w:color="auto"/>
        <w:right w:val="none" w:sz="0" w:space="0" w:color="auto"/>
      </w:divBdr>
    </w:div>
    <w:div w:id="1573466266">
      <w:bodyDiv w:val="1"/>
      <w:marLeft w:val="0"/>
      <w:marRight w:val="0"/>
      <w:marTop w:val="0"/>
      <w:marBottom w:val="0"/>
      <w:divBdr>
        <w:top w:val="none" w:sz="0" w:space="0" w:color="auto"/>
        <w:left w:val="none" w:sz="0" w:space="0" w:color="auto"/>
        <w:bottom w:val="none" w:sz="0" w:space="0" w:color="auto"/>
        <w:right w:val="none" w:sz="0" w:space="0" w:color="auto"/>
      </w:divBdr>
    </w:div>
    <w:div w:id="183849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Rodger</dc:creator>
  <cp:keywords/>
  <dc:description/>
  <cp:lastModifiedBy>Kirsty Doyle</cp:lastModifiedBy>
  <cp:revision>2</cp:revision>
  <dcterms:created xsi:type="dcterms:W3CDTF">2021-04-01T10:24:00Z</dcterms:created>
  <dcterms:modified xsi:type="dcterms:W3CDTF">2021-04-01T10:24:00Z</dcterms:modified>
</cp:coreProperties>
</file>