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E3BC5" w:rsidRDefault="004F55C1" w14:paraId="7D2C8C5E" w14:textId="673875CD">
      <w:pPr>
        <w:rPr>
          <w:b/>
          <w:bCs/>
          <w:u w:val="single"/>
        </w:rPr>
      </w:pPr>
      <w:r w:rsidRPr="004F55C1">
        <w:rPr>
          <w:b/>
          <w:bCs/>
          <w:noProof/>
          <w:u w:val="single"/>
          <w:lang w:eastAsia="en-GB"/>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10"/>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rsidR="004F55C1" w:rsidRDefault="00154ED4" w14:paraId="7A86851B" w14:textId="327922B9">
      <w:pPr>
        <w:rPr>
          <w:b/>
          <w:bCs/>
          <w:i/>
          <w:iCs/>
        </w:rPr>
      </w:pPr>
      <w:r>
        <w:rPr>
          <w:b/>
          <w:bCs/>
          <w:i/>
          <w:iCs/>
        </w:rPr>
        <w:t>C8201 Cognition &amp; Neuropsychology</w:t>
      </w:r>
    </w:p>
    <w:p w:rsidR="004F55C1" w:rsidRDefault="004F55C1" w14:paraId="2380315D" w14:textId="77777777">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rsidTr="1E150FE0" w14:paraId="0119998E" w14:textId="77777777">
        <w:tc>
          <w:tcPr>
            <w:tcW w:w="1980" w:type="dxa"/>
            <w:tcMar/>
          </w:tcPr>
          <w:p w:rsidRPr="004F55C1" w:rsidR="004F55C1" w:rsidRDefault="004F55C1" w14:paraId="194D49D5" w14:textId="706C44AE">
            <w:pPr>
              <w:rPr>
                <w:b/>
                <w:bCs/>
              </w:rPr>
            </w:pPr>
            <w:r w:rsidRPr="004F55C1">
              <w:rPr>
                <w:b/>
                <w:bCs/>
              </w:rPr>
              <w:t>Module Leader</w:t>
            </w:r>
            <w:r>
              <w:rPr>
                <w:b/>
                <w:bCs/>
              </w:rPr>
              <w:t>:</w:t>
            </w:r>
          </w:p>
        </w:tc>
        <w:tc>
          <w:tcPr>
            <w:tcW w:w="2410" w:type="dxa"/>
            <w:gridSpan w:val="2"/>
            <w:tcMar/>
          </w:tcPr>
          <w:p w:rsidR="004F55C1" w:rsidRDefault="00154ED4" w14:paraId="451630AB" w14:textId="62CFCA50">
            <w:pPr>
              <w:rPr>
                <w:b/>
                <w:bCs/>
                <w:i/>
                <w:iCs/>
              </w:rPr>
            </w:pPr>
            <w:r>
              <w:rPr>
                <w:b/>
                <w:bCs/>
                <w:i/>
                <w:iCs/>
              </w:rPr>
              <w:t>David Hamilton</w:t>
            </w:r>
          </w:p>
        </w:tc>
        <w:tc>
          <w:tcPr>
            <w:tcW w:w="2693" w:type="dxa"/>
            <w:tcMar/>
          </w:tcPr>
          <w:p w:rsidRPr="004F55C1" w:rsidR="004F55C1" w:rsidRDefault="004F55C1" w14:paraId="7F55E41D" w14:textId="75405CD0">
            <w:pPr>
              <w:rPr>
                <w:b/>
                <w:bCs/>
              </w:rPr>
            </w:pPr>
            <w:r>
              <w:rPr>
                <w:b/>
                <w:bCs/>
              </w:rPr>
              <w:t>Credit Value:</w:t>
            </w:r>
          </w:p>
        </w:tc>
        <w:tc>
          <w:tcPr>
            <w:tcW w:w="3373" w:type="dxa"/>
            <w:tcMar/>
          </w:tcPr>
          <w:p w:rsidR="004F55C1" w:rsidP="14AF2B1F" w:rsidRDefault="007E412B" w14:paraId="1D1D1E21" w14:textId="2FA10C6C">
            <w:pPr>
              <w:rPr>
                <w:b/>
                <w:bCs/>
                <w:i/>
                <w:iCs/>
              </w:rPr>
            </w:pPr>
            <w:r>
              <w:rPr>
                <w:b/>
                <w:bCs/>
                <w:i/>
                <w:iCs/>
              </w:rPr>
              <w:t>20</w:t>
            </w:r>
          </w:p>
        </w:tc>
      </w:tr>
      <w:tr w:rsidR="004F55C1" w:rsidTr="1E150FE0" w14:paraId="3980C1BA" w14:textId="77777777">
        <w:tc>
          <w:tcPr>
            <w:tcW w:w="1980" w:type="dxa"/>
            <w:tcMar/>
          </w:tcPr>
          <w:p w:rsidRPr="004F55C1" w:rsidR="004F55C1" w:rsidRDefault="004F55C1" w14:paraId="4E248D97" w14:textId="700E30FF">
            <w:pPr>
              <w:rPr>
                <w:b/>
                <w:bCs/>
              </w:rPr>
            </w:pPr>
            <w:r w:rsidRPr="2D681820">
              <w:rPr>
                <w:b/>
                <w:bCs/>
              </w:rPr>
              <w:t>Other</w:t>
            </w:r>
            <w:r w:rsidRPr="2D681820" w:rsidR="113A138C">
              <w:rPr>
                <w:b/>
                <w:bCs/>
              </w:rPr>
              <w:t>s teaching on the module:</w:t>
            </w:r>
          </w:p>
        </w:tc>
        <w:tc>
          <w:tcPr>
            <w:tcW w:w="2410" w:type="dxa"/>
            <w:gridSpan w:val="2"/>
            <w:tcMar/>
          </w:tcPr>
          <w:p w:rsidR="007E412B" w:rsidP="007E412B" w:rsidRDefault="00154ED4" w14:paraId="59B61FC2" w14:textId="77777777">
            <w:pPr>
              <w:rPr>
                <w:b/>
                <w:bCs/>
                <w:i/>
                <w:iCs/>
              </w:rPr>
            </w:pPr>
            <w:r>
              <w:rPr>
                <w:b/>
                <w:bCs/>
                <w:i/>
                <w:iCs/>
              </w:rPr>
              <w:t>David Robertson</w:t>
            </w:r>
          </w:p>
          <w:p w:rsidR="00154ED4" w:rsidP="007E412B" w:rsidRDefault="00154ED4" w14:paraId="575C0363" w14:textId="77777777">
            <w:pPr>
              <w:rPr>
                <w:b/>
                <w:bCs/>
                <w:i/>
                <w:iCs/>
              </w:rPr>
            </w:pPr>
            <w:r>
              <w:rPr>
                <w:b/>
                <w:bCs/>
                <w:i/>
                <w:iCs/>
              </w:rPr>
              <w:t>Kieran O’Shea</w:t>
            </w:r>
          </w:p>
          <w:p w:rsidR="00154ED4" w:rsidP="007E412B" w:rsidRDefault="00154ED4" w14:paraId="6B58ABC0" w14:textId="5DC22F4B">
            <w:pPr>
              <w:rPr>
                <w:b/>
                <w:bCs/>
                <w:i/>
                <w:iCs/>
              </w:rPr>
            </w:pPr>
            <w:r>
              <w:rPr>
                <w:b/>
                <w:bCs/>
                <w:i/>
                <w:iCs/>
              </w:rPr>
              <w:t>Hazel Anderson</w:t>
            </w:r>
          </w:p>
        </w:tc>
        <w:tc>
          <w:tcPr>
            <w:tcW w:w="2693" w:type="dxa"/>
            <w:tcMar/>
          </w:tcPr>
          <w:p w:rsidRPr="004F55C1" w:rsidR="004F55C1" w:rsidRDefault="006D6E5B" w14:paraId="43C1DE82" w14:textId="6E3A2D60">
            <w:pPr>
              <w:rPr>
                <w:b/>
                <w:bCs/>
              </w:rPr>
            </w:pPr>
            <w:r>
              <w:rPr>
                <w:b/>
                <w:bCs/>
              </w:rPr>
              <w:t>Lead Department:</w:t>
            </w:r>
          </w:p>
        </w:tc>
        <w:tc>
          <w:tcPr>
            <w:tcW w:w="3373" w:type="dxa"/>
            <w:tcMar/>
          </w:tcPr>
          <w:p w:rsidR="004F55C1" w:rsidRDefault="007E412B" w14:paraId="7F820182" w14:textId="6E8C0AB6">
            <w:pPr>
              <w:rPr>
                <w:b/>
                <w:bCs/>
                <w:i/>
                <w:iCs/>
              </w:rPr>
            </w:pPr>
            <w:r>
              <w:rPr>
                <w:b/>
                <w:bCs/>
                <w:i/>
                <w:iCs/>
              </w:rPr>
              <w:t>Psychology</w:t>
            </w:r>
          </w:p>
        </w:tc>
      </w:tr>
      <w:tr w:rsidR="004F55C1" w:rsidTr="1E150FE0" w14:paraId="104FEA31" w14:textId="77777777">
        <w:tc>
          <w:tcPr>
            <w:tcW w:w="1980" w:type="dxa"/>
            <w:tcMar/>
          </w:tcPr>
          <w:p w:rsidRPr="004F55C1" w:rsidR="004F55C1" w:rsidRDefault="004F55C1" w14:paraId="1B94CCD2" w14:textId="6D8424CC">
            <w:pPr>
              <w:rPr>
                <w:b/>
                <w:bCs/>
              </w:rPr>
            </w:pPr>
            <w:r w:rsidRPr="004F55C1">
              <w:rPr>
                <w:b/>
                <w:bCs/>
              </w:rPr>
              <w:t>Academic Level:</w:t>
            </w:r>
          </w:p>
        </w:tc>
        <w:sdt>
          <w:sdt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rPr>
              <w:b w:val="1"/>
              <w:bCs w:val="1"/>
              <w:i w:val="1"/>
              <w:iCs w:val="1"/>
            </w:rPr>
          </w:sdtPr>
          <w:sdtContent>
            <w:tc>
              <w:tcPr>
                <w:tcW w:w="2410" w:type="dxa"/>
                <w:gridSpan w:val="2"/>
                <w:tcMar/>
              </w:tcPr>
              <w:p w:rsidR="004F55C1" w:rsidRDefault="00B649A6" w14:paraId="36825C5F" w14:textId="331C82C9">
                <w:pPr>
                  <w:rPr>
                    <w:b/>
                    <w:bCs/>
                    <w:i/>
                    <w:iCs/>
                  </w:rPr>
                </w:pPr>
                <w:r>
                  <w:rPr>
                    <w:b/>
                    <w:bCs/>
                    <w:i/>
                    <w:iCs/>
                  </w:rPr>
                  <w:t>SCQF8</w:t>
                </w:r>
              </w:p>
            </w:tc>
          </w:sdtContent>
          <w:sdtEndPr>
            <w:rPr>
              <w:b w:val="1"/>
              <w:bCs w:val="1"/>
              <w:i w:val="1"/>
              <w:iCs w:val="1"/>
            </w:rPr>
          </w:sdtEndPr>
        </w:sdt>
        <w:tc>
          <w:tcPr>
            <w:tcW w:w="2693" w:type="dxa"/>
            <w:tcMar/>
          </w:tcPr>
          <w:p w:rsidRPr="004F55C1" w:rsidR="004F55C1" w:rsidRDefault="004F55C1" w14:paraId="421E7850" w14:textId="2209C07E">
            <w:pPr>
              <w:rPr>
                <w:b/>
                <w:bCs/>
              </w:rPr>
            </w:pPr>
            <w:r w:rsidRPr="004F55C1">
              <w:rPr>
                <w:b/>
                <w:bCs/>
              </w:rPr>
              <w:t>Possible Elective:</w:t>
            </w:r>
          </w:p>
        </w:tc>
        <w:sdt>
          <w:sdtPr>
            <w:id w:val="-1661228705"/>
            <w:placeholder>
              <w:docPart w:val="DefaultPlaceholder_-1854013438"/>
            </w:placeholder>
            <w:comboBox>
              <w:listItem w:value="Choose an item."/>
              <w:listItem w:displayText="Yes" w:value="Yes"/>
              <w:listItem w:displayText="No" w:value="No"/>
            </w:comboBox>
            <w:rPr>
              <w:b w:val="1"/>
              <w:bCs w:val="1"/>
              <w:i w:val="1"/>
              <w:iCs w:val="1"/>
            </w:rPr>
          </w:sdtPr>
          <w:sdtContent>
            <w:tc>
              <w:tcPr>
                <w:tcW w:w="3373" w:type="dxa"/>
                <w:tcMar/>
              </w:tcPr>
              <w:p w:rsidR="004F55C1" w:rsidRDefault="007E412B" w14:paraId="25FA59B3" w14:textId="6D97A671">
                <w:pPr>
                  <w:rPr>
                    <w:b/>
                    <w:bCs/>
                    <w:i/>
                    <w:iCs/>
                  </w:rPr>
                </w:pPr>
                <w:r>
                  <w:rPr>
                    <w:b/>
                    <w:bCs/>
                    <w:i/>
                    <w:iCs/>
                  </w:rPr>
                  <w:t>No</w:t>
                </w:r>
              </w:p>
            </w:tc>
          </w:sdtContent>
          <w:sdtEndPr>
            <w:rPr>
              <w:b w:val="1"/>
              <w:bCs w:val="1"/>
              <w:i w:val="1"/>
              <w:iCs w:val="1"/>
            </w:rPr>
          </w:sdtEndPr>
        </w:sdt>
      </w:tr>
      <w:tr w:rsidR="00D947AD" w:rsidTr="1E150FE0" w14:paraId="49DF1267" w14:textId="77777777">
        <w:tc>
          <w:tcPr>
            <w:tcW w:w="1980" w:type="dxa"/>
            <w:tcMar/>
          </w:tcPr>
          <w:p w:rsidRPr="004F55C1" w:rsidR="00D947AD" w:rsidRDefault="00D947AD" w14:paraId="79CF1FE4" w14:textId="55BED7EA">
            <w:pPr>
              <w:rPr>
                <w:b/>
                <w:bCs/>
              </w:rPr>
            </w:pPr>
            <w:r>
              <w:rPr>
                <w:b/>
                <w:bCs/>
              </w:rPr>
              <w:t>Semester:</w:t>
            </w:r>
          </w:p>
        </w:tc>
        <w:sdt>
          <w:sdtPr>
            <w:id w:val="1037704183"/>
            <w:placeholder>
              <w:docPart w:val="DefaultPlaceholder_-1854013438"/>
            </w:placeholder>
            <w:comboBox>
              <w:listItem w:value="Choose an item."/>
              <w:listItem w:displayText="Single" w:value="Single"/>
              <w:listItem w:displayText="Over two semesters" w:value="Over two semesters"/>
            </w:comboBox>
            <w:rPr>
              <w:b w:val="1"/>
              <w:bCs w:val="1"/>
              <w:i w:val="1"/>
              <w:iCs w:val="1"/>
            </w:rPr>
          </w:sdtPr>
          <w:sdtContent>
            <w:tc>
              <w:tcPr>
                <w:tcW w:w="2410" w:type="dxa"/>
                <w:gridSpan w:val="2"/>
                <w:tcMar/>
              </w:tcPr>
              <w:p w:rsidR="00D947AD" w:rsidRDefault="007E412B" w14:paraId="1A077A19" w14:textId="40F8E4FB">
                <w:pPr>
                  <w:rPr>
                    <w:b/>
                    <w:bCs/>
                    <w:i/>
                    <w:iCs/>
                  </w:rPr>
                </w:pPr>
                <w:r>
                  <w:rPr>
                    <w:b/>
                    <w:bCs/>
                    <w:i/>
                    <w:iCs/>
                  </w:rPr>
                  <w:t>Single</w:t>
                </w:r>
              </w:p>
            </w:tc>
          </w:sdtContent>
          <w:sdtEndPr>
            <w:rPr>
              <w:b w:val="1"/>
              <w:bCs w:val="1"/>
              <w:i w:val="1"/>
              <w:iCs w:val="1"/>
            </w:rPr>
          </w:sdtEndPr>
        </w:sdt>
        <w:tc>
          <w:tcPr>
            <w:tcW w:w="2693" w:type="dxa"/>
            <w:tcMar/>
          </w:tcPr>
          <w:p w:rsidR="00D947AD" w:rsidRDefault="00D947AD" w14:paraId="5ED11EF8" w14:textId="77777777">
            <w:pPr>
              <w:rPr>
                <w:b/>
                <w:bCs/>
              </w:rPr>
            </w:pPr>
            <w:r>
              <w:rPr>
                <w:b/>
                <w:bCs/>
              </w:rPr>
              <w:t>Mode of Attendance</w:t>
            </w:r>
            <w:r w:rsidR="00A7244C">
              <w:rPr>
                <w:b/>
                <w:bCs/>
              </w:rPr>
              <w:t>:</w:t>
            </w:r>
          </w:p>
          <w:p w:rsidRPr="001954DB" w:rsidR="001954DB" w:rsidRDefault="001954DB" w14:paraId="2BE3C5C2" w14:textId="73F8E5FE">
            <w:pPr>
              <w:rPr>
                <w:i/>
                <w:iCs/>
              </w:rPr>
            </w:pPr>
          </w:p>
        </w:tc>
        <w:sdt>
          <w:sdt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rPr>
              <w:b w:val="1"/>
              <w:bCs w:val="1"/>
              <w:i w:val="1"/>
              <w:iCs w:val="1"/>
            </w:rPr>
          </w:sdtPr>
          <w:sdtContent>
            <w:tc>
              <w:tcPr>
                <w:tcW w:w="3373" w:type="dxa"/>
                <w:tcMar/>
              </w:tcPr>
              <w:p w:rsidR="00D947AD" w:rsidRDefault="007E412B" w14:paraId="5C26718D" w14:textId="587E85DA">
                <w:pPr>
                  <w:rPr>
                    <w:b/>
                    <w:bCs/>
                    <w:i/>
                    <w:iCs/>
                  </w:rPr>
                </w:pPr>
                <w:r>
                  <w:rPr>
                    <w:b/>
                    <w:bCs/>
                    <w:i/>
                    <w:iCs/>
                  </w:rPr>
                  <w:t>Attending (face-to-face learning in an approved physical location)</w:t>
                </w:r>
              </w:p>
            </w:tc>
          </w:sdtContent>
          <w:sdtEndPr>
            <w:rPr>
              <w:b w:val="1"/>
              <w:bCs w:val="1"/>
              <w:i w:val="1"/>
              <w:iCs w:val="1"/>
            </w:rPr>
          </w:sdtEndPr>
        </w:sdt>
      </w:tr>
      <w:tr w:rsidR="006D6E5B" w:rsidTr="1E150FE0" w14:paraId="413E93AC" w14:textId="77777777">
        <w:tc>
          <w:tcPr>
            <w:tcW w:w="3539" w:type="dxa"/>
            <w:gridSpan w:val="2"/>
            <w:tcMar/>
          </w:tcPr>
          <w:p w:rsidR="006D6E5B" w:rsidP="006D6E5B" w:rsidRDefault="254B64E3" w14:paraId="27598030" w14:textId="33BD246F">
            <w:pPr>
              <w:rPr>
                <w:b w:val="1"/>
                <w:bCs w:val="1"/>
              </w:rPr>
            </w:pPr>
            <w:r w:rsidRPr="1E150FE0" w:rsidR="254B64E3">
              <w:rPr>
                <w:b w:val="1"/>
                <w:bCs w:val="1"/>
              </w:rPr>
              <w:t xml:space="preserve">Main programme(s) the module is part </w:t>
            </w:r>
            <w:r w:rsidRPr="1E150FE0" w:rsidR="1DF284AF">
              <w:rPr>
                <w:b w:val="1"/>
                <w:bCs w:val="1"/>
              </w:rPr>
              <w:t>of</w:t>
            </w:r>
            <w:r w:rsidRPr="1E150FE0" w:rsidR="254B64E3">
              <w:rPr>
                <w:b w:val="1"/>
                <w:bCs w:val="1"/>
              </w:rPr>
              <w:t xml:space="preserve"> as compulsory or </w:t>
            </w:r>
            <w:r w:rsidRPr="1E150FE0" w:rsidR="2FAC2400">
              <w:rPr>
                <w:b w:val="1"/>
                <w:bCs w:val="1"/>
              </w:rPr>
              <w:t>optional</w:t>
            </w:r>
            <w:r w:rsidRPr="1E150FE0" w:rsidR="4CA54A9D">
              <w:rPr>
                <w:b w:val="1"/>
                <w:bCs w:val="1"/>
              </w:rPr>
              <w:t xml:space="preserve"> module.</w:t>
            </w:r>
          </w:p>
        </w:tc>
        <w:tc>
          <w:tcPr>
            <w:tcW w:w="6917" w:type="dxa"/>
            <w:gridSpan w:val="3"/>
            <w:tcMar/>
          </w:tcPr>
          <w:p w:rsidR="006D6E5B" w:rsidP="006D6E5B" w:rsidRDefault="007E412B" w14:paraId="5ADA37E7" w14:textId="77777777">
            <w:pPr>
              <w:rPr>
                <w:b/>
                <w:bCs/>
                <w:i/>
                <w:iCs/>
              </w:rPr>
            </w:pPr>
            <w:r>
              <w:rPr>
                <w:b/>
                <w:bCs/>
                <w:i/>
                <w:iCs/>
              </w:rPr>
              <w:t>BA Psychology</w:t>
            </w:r>
          </w:p>
          <w:p w:rsidR="007E412B" w:rsidP="006D6E5B" w:rsidRDefault="007E412B" w14:paraId="39565D1A" w14:textId="311408BA">
            <w:pPr>
              <w:rPr>
                <w:b/>
                <w:bCs/>
                <w:i/>
                <w:iCs/>
              </w:rPr>
            </w:pPr>
            <w:r>
              <w:rPr>
                <w:b/>
                <w:bCs/>
                <w:i/>
                <w:iCs/>
              </w:rPr>
              <w:t>BSc Counselling Psychology</w:t>
            </w:r>
          </w:p>
        </w:tc>
      </w:tr>
    </w:tbl>
    <w:p w:rsidR="004F55C1" w:rsidRDefault="004F55C1" w14:paraId="7B05E94B" w14:textId="77777777">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Pr="004F55C1" w:rsidR="004F55C1" w:rsidTr="2D681820" w14:paraId="6B0E97E9" w14:textId="77777777">
        <w:tc>
          <w:tcPr>
            <w:tcW w:w="10456" w:type="dxa"/>
            <w:gridSpan w:val="7"/>
            <w:tcBorders>
              <w:top w:val="nil"/>
              <w:left w:val="nil"/>
              <w:right w:val="nil"/>
            </w:tcBorders>
          </w:tcPr>
          <w:p w:rsidRPr="003E72D2" w:rsidR="004F55C1" w:rsidP="2D681820" w:rsidRDefault="004F55C1" w14:paraId="6F3F50E0" w14:textId="5130CEFF">
            <w:pPr>
              <w:rPr>
                <w:b/>
                <w:bCs/>
              </w:rPr>
            </w:pPr>
            <w:r>
              <w:rPr>
                <w:b/>
                <w:bCs/>
              </w:rPr>
              <w:t xml:space="preserve">Module Format and Delivery (hours, i.e. 1 credit = 10 hours) </w:t>
            </w:r>
          </w:p>
        </w:tc>
      </w:tr>
      <w:tr w:rsidRPr="004F55C1" w:rsidR="001C240A" w:rsidTr="2D681820" w14:paraId="0C6798F7" w14:textId="77777777">
        <w:tc>
          <w:tcPr>
            <w:tcW w:w="1492" w:type="dxa"/>
          </w:tcPr>
          <w:p w:rsidRPr="004F55C1" w:rsidR="001C240A" w:rsidP="001C240A" w:rsidRDefault="001C240A" w14:paraId="0A39AFEC" w14:textId="225722AB">
            <w:pPr>
              <w:rPr>
                <w:b/>
                <w:bCs/>
              </w:rPr>
            </w:pPr>
            <w:r>
              <w:rPr>
                <w:b/>
                <w:bCs/>
              </w:rPr>
              <w:t>Lecture</w:t>
            </w:r>
          </w:p>
        </w:tc>
        <w:tc>
          <w:tcPr>
            <w:tcW w:w="1493" w:type="dxa"/>
          </w:tcPr>
          <w:p w:rsidRPr="004F55C1" w:rsidR="001C240A" w:rsidP="001C240A" w:rsidRDefault="001C240A" w14:paraId="621E984B" w14:textId="29435D6A">
            <w:pPr>
              <w:rPr>
                <w:b/>
                <w:bCs/>
              </w:rPr>
            </w:pPr>
            <w:r>
              <w:rPr>
                <w:b/>
                <w:bCs/>
              </w:rPr>
              <w:t>Tutorial</w:t>
            </w:r>
          </w:p>
        </w:tc>
        <w:tc>
          <w:tcPr>
            <w:tcW w:w="1494" w:type="dxa"/>
          </w:tcPr>
          <w:p w:rsidRPr="004F55C1" w:rsidR="001C240A" w:rsidP="001C240A" w:rsidRDefault="001C240A" w14:paraId="4AC571DA" w14:textId="020E2292">
            <w:pPr>
              <w:rPr>
                <w:b/>
                <w:bCs/>
              </w:rPr>
            </w:pPr>
            <w:r>
              <w:rPr>
                <w:b/>
                <w:bCs/>
              </w:rPr>
              <w:t>Seminar</w:t>
            </w:r>
          </w:p>
        </w:tc>
        <w:tc>
          <w:tcPr>
            <w:tcW w:w="1617" w:type="dxa"/>
          </w:tcPr>
          <w:p w:rsidRPr="004F55C1" w:rsidR="001C240A" w:rsidP="001C240A" w:rsidRDefault="001C240A" w14:paraId="13AD94A9" w14:textId="4D777911">
            <w:pPr>
              <w:rPr>
                <w:b/>
                <w:bCs/>
              </w:rPr>
            </w:pPr>
            <w:r>
              <w:rPr>
                <w:b/>
                <w:bCs/>
              </w:rPr>
              <w:t>Groupwork</w:t>
            </w:r>
          </w:p>
        </w:tc>
        <w:tc>
          <w:tcPr>
            <w:tcW w:w="1559" w:type="dxa"/>
          </w:tcPr>
          <w:p w:rsidRPr="004F55C1" w:rsidR="001C240A" w:rsidP="001C240A" w:rsidRDefault="001C240A" w14:paraId="052CD06B" w14:textId="054BACE2">
            <w:pPr>
              <w:rPr>
                <w:i/>
                <w:iCs/>
              </w:rPr>
            </w:pPr>
            <w:r>
              <w:rPr>
                <w:b/>
                <w:bCs/>
              </w:rPr>
              <w:t>Independent Study</w:t>
            </w:r>
          </w:p>
        </w:tc>
        <w:tc>
          <w:tcPr>
            <w:tcW w:w="1307" w:type="dxa"/>
          </w:tcPr>
          <w:p w:rsidRPr="004F55C1" w:rsidR="001C240A" w:rsidP="001C240A" w:rsidRDefault="001C240A" w14:paraId="2344551E" w14:textId="7D8FB164">
            <w:pPr>
              <w:rPr>
                <w:b/>
                <w:bCs/>
              </w:rPr>
            </w:pPr>
            <w:r w:rsidRPr="004F55C1">
              <w:rPr>
                <w:i/>
                <w:iCs/>
              </w:rPr>
              <w:t>Other</w:t>
            </w:r>
          </w:p>
        </w:tc>
        <w:tc>
          <w:tcPr>
            <w:tcW w:w="1494" w:type="dxa"/>
          </w:tcPr>
          <w:p w:rsidRPr="004F55C1" w:rsidR="001C240A" w:rsidP="001C240A" w:rsidRDefault="001C240A" w14:paraId="0F8214E0" w14:textId="0999FF18">
            <w:pPr>
              <w:rPr>
                <w:b/>
                <w:bCs/>
              </w:rPr>
            </w:pPr>
            <w:r>
              <w:rPr>
                <w:b/>
                <w:bCs/>
              </w:rPr>
              <w:t>Total</w:t>
            </w:r>
          </w:p>
        </w:tc>
      </w:tr>
      <w:tr w:rsidRPr="004F55C1" w:rsidR="001C240A" w:rsidTr="2D681820" w14:paraId="699C6F35" w14:textId="77777777">
        <w:tc>
          <w:tcPr>
            <w:tcW w:w="1492" w:type="dxa"/>
          </w:tcPr>
          <w:p w:rsidRPr="004F55C1" w:rsidR="001C240A" w:rsidP="001C240A" w:rsidRDefault="007E412B" w14:paraId="7D63E90F" w14:textId="138C46D6">
            <w:pPr>
              <w:rPr>
                <w:b/>
                <w:bCs/>
              </w:rPr>
            </w:pPr>
            <w:r>
              <w:rPr>
                <w:b/>
                <w:bCs/>
              </w:rPr>
              <w:t>2</w:t>
            </w:r>
            <w:r w:rsidR="00154ED4">
              <w:rPr>
                <w:b/>
                <w:bCs/>
              </w:rPr>
              <w:t>8</w:t>
            </w:r>
          </w:p>
        </w:tc>
        <w:tc>
          <w:tcPr>
            <w:tcW w:w="1493" w:type="dxa"/>
          </w:tcPr>
          <w:p w:rsidRPr="004F55C1" w:rsidR="001C240A" w:rsidP="001C240A" w:rsidRDefault="00154ED4" w14:paraId="7CF0E087" w14:textId="448424B4">
            <w:pPr>
              <w:rPr>
                <w:b/>
                <w:bCs/>
              </w:rPr>
            </w:pPr>
            <w:r>
              <w:rPr>
                <w:b/>
                <w:bCs/>
              </w:rPr>
              <w:t>0</w:t>
            </w:r>
          </w:p>
        </w:tc>
        <w:tc>
          <w:tcPr>
            <w:tcW w:w="1494" w:type="dxa"/>
          </w:tcPr>
          <w:p w:rsidRPr="004F55C1" w:rsidR="001C240A" w:rsidP="001C240A" w:rsidRDefault="007E412B" w14:paraId="3FE29374" w14:textId="4C1D4C0D">
            <w:pPr>
              <w:rPr>
                <w:b/>
                <w:bCs/>
              </w:rPr>
            </w:pPr>
            <w:r>
              <w:rPr>
                <w:b/>
                <w:bCs/>
              </w:rPr>
              <w:t>0</w:t>
            </w:r>
          </w:p>
        </w:tc>
        <w:tc>
          <w:tcPr>
            <w:tcW w:w="1617" w:type="dxa"/>
          </w:tcPr>
          <w:p w:rsidRPr="004F55C1" w:rsidR="001C240A" w:rsidP="001C240A" w:rsidRDefault="007E412B" w14:paraId="723F9F15" w14:textId="1AFB7F6B">
            <w:pPr>
              <w:rPr>
                <w:b/>
                <w:bCs/>
              </w:rPr>
            </w:pPr>
            <w:r>
              <w:rPr>
                <w:b/>
                <w:bCs/>
              </w:rPr>
              <w:t>0</w:t>
            </w:r>
          </w:p>
        </w:tc>
        <w:tc>
          <w:tcPr>
            <w:tcW w:w="1559" w:type="dxa"/>
          </w:tcPr>
          <w:p w:rsidRPr="004F55C1" w:rsidR="001C240A" w:rsidP="001C240A" w:rsidRDefault="007E412B" w14:paraId="0DC6CF95" w14:textId="1908832D">
            <w:pPr>
              <w:rPr>
                <w:b/>
                <w:bCs/>
              </w:rPr>
            </w:pPr>
            <w:r>
              <w:rPr>
                <w:b/>
                <w:bCs/>
              </w:rPr>
              <w:t>172</w:t>
            </w:r>
          </w:p>
        </w:tc>
        <w:tc>
          <w:tcPr>
            <w:tcW w:w="1307" w:type="dxa"/>
          </w:tcPr>
          <w:p w:rsidRPr="004F55C1" w:rsidR="001C240A" w:rsidP="001C240A" w:rsidRDefault="007E412B" w14:paraId="1F1650C9" w14:textId="3D53E68A">
            <w:pPr>
              <w:rPr>
                <w:b/>
                <w:bCs/>
              </w:rPr>
            </w:pPr>
            <w:r>
              <w:rPr>
                <w:b/>
                <w:bCs/>
              </w:rPr>
              <w:t>0</w:t>
            </w:r>
          </w:p>
        </w:tc>
        <w:tc>
          <w:tcPr>
            <w:tcW w:w="1494" w:type="dxa"/>
          </w:tcPr>
          <w:p w:rsidRPr="004F55C1" w:rsidR="001C240A" w:rsidP="001C240A" w:rsidRDefault="007E412B" w14:paraId="3625F7B3" w14:textId="0E4733CF">
            <w:pPr>
              <w:rPr>
                <w:b/>
                <w:bCs/>
              </w:rPr>
            </w:pPr>
            <w:r>
              <w:rPr>
                <w:b/>
                <w:bCs/>
              </w:rPr>
              <w:t>200</w:t>
            </w:r>
          </w:p>
        </w:tc>
      </w:tr>
    </w:tbl>
    <w:p w:rsidR="004F55C1" w:rsidP="005C0A25" w:rsidRDefault="004F55C1" w14:paraId="1743A7A7" w14:textId="77777777">
      <w:pPr>
        <w:spacing w:after="0"/>
        <w:rPr>
          <w:b/>
          <w:bCs/>
          <w:i/>
          <w:iCs/>
        </w:rPr>
      </w:pPr>
    </w:p>
    <w:tbl>
      <w:tblPr>
        <w:tblStyle w:val="TableGrid"/>
        <w:tblW w:w="0" w:type="auto"/>
        <w:tblInd w:w="-5" w:type="dxa"/>
        <w:tblLook w:val="04A0" w:firstRow="1" w:lastRow="0" w:firstColumn="1" w:lastColumn="0" w:noHBand="0" w:noVBand="1"/>
      </w:tblPr>
      <w:tblGrid>
        <w:gridCol w:w="10456"/>
      </w:tblGrid>
      <w:tr w:rsidRPr="008C7A24" w:rsidR="00D67FB4" w:rsidTr="00816BD2" w14:paraId="1828EE65" w14:textId="77777777">
        <w:tc>
          <w:tcPr>
            <w:tcW w:w="10456" w:type="dxa"/>
            <w:tcBorders>
              <w:top w:val="nil"/>
              <w:left w:val="nil"/>
              <w:bottom w:val="single" w:color="auto" w:sz="4" w:space="0"/>
              <w:right w:val="nil"/>
            </w:tcBorders>
          </w:tcPr>
          <w:p w:rsidRPr="00395493" w:rsidR="00D67FB4" w:rsidRDefault="00D67FB4" w14:paraId="050E7EF3" w14:textId="22BE101E">
            <w:pPr>
              <w:rPr>
                <w:b/>
                <w:bCs/>
              </w:rPr>
            </w:pPr>
            <w:r w:rsidRPr="14AF2B1F">
              <w:rPr>
                <w:b/>
                <w:bCs/>
              </w:rPr>
              <w:t>Place in programme(s)</w:t>
            </w:r>
          </w:p>
        </w:tc>
      </w:tr>
      <w:tr w:rsidR="00D67FB4" w:rsidTr="00816BD2" w14:paraId="6B333C88" w14:textId="77777777">
        <w:tc>
          <w:tcPr>
            <w:tcW w:w="10456" w:type="dxa"/>
            <w:tcBorders>
              <w:top w:val="single" w:color="auto" w:sz="4" w:space="0"/>
            </w:tcBorders>
          </w:tcPr>
          <w:p w:rsidR="00D67FB4" w:rsidRDefault="005C0A25" w14:paraId="29EEB489" w14:textId="09175220">
            <w:pPr>
              <w:rPr>
                <w:rFonts w:cs="Arial"/>
              </w:rPr>
            </w:pPr>
            <w:r w:rsidRPr="005C0A25">
              <w:rPr>
                <w:rFonts w:cs="Arial"/>
              </w:rPr>
              <w:t xml:space="preserve">This is a </w:t>
            </w:r>
            <w:r w:rsidR="00154ED4">
              <w:rPr>
                <w:rFonts w:cs="Arial"/>
              </w:rPr>
              <w:t>L</w:t>
            </w:r>
            <w:r w:rsidRPr="005C0A25">
              <w:rPr>
                <w:rFonts w:cs="Arial"/>
              </w:rPr>
              <w:t xml:space="preserve">evel </w:t>
            </w:r>
            <w:r w:rsidR="00154ED4">
              <w:rPr>
                <w:rFonts w:cs="Arial"/>
              </w:rPr>
              <w:t>2</w:t>
            </w:r>
            <w:r w:rsidRPr="005C0A25">
              <w:rPr>
                <w:rFonts w:cs="Arial"/>
              </w:rPr>
              <w:t xml:space="preserve"> </w:t>
            </w:r>
            <w:r w:rsidR="00154ED4">
              <w:rPr>
                <w:rFonts w:cs="Arial"/>
              </w:rPr>
              <w:t>P</w:t>
            </w:r>
            <w:r w:rsidRPr="005C0A25">
              <w:rPr>
                <w:rFonts w:cs="Arial"/>
              </w:rPr>
              <w:t xml:space="preserve">sychology class. It will build upon the </w:t>
            </w:r>
            <w:r w:rsidR="00154ED4">
              <w:rPr>
                <w:rFonts w:cs="Arial"/>
              </w:rPr>
              <w:t xml:space="preserve">foundational knowledge gained in Level 1 classes (Psychology 1A and 1B). </w:t>
            </w:r>
            <w:r w:rsidR="00030290">
              <w:rPr>
                <w:rFonts w:cs="Arial"/>
              </w:rPr>
              <w:t xml:space="preserve">You will also utilise the skills learned during the C8203: Introduction to Research Design and Analysis lectures and workshops. The information gained as part of this class will support further learning at Level 3 Cognition. </w:t>
            </w:r>
          </w:p>
          <w:p w:rsidRPr="005C0A25" w:rsidR="005C0A25" w:rsidRDefault="005C0A25" w14:paraId="594FF33C" w14:textId="0847149E">
            <w:pPr>
              <w:rPr>
                <w:b/>
                <w:bCs/>
                <w:i/>
                <w:iCs/>
              </w:rPr>
            </w:pPr>
          </w:p>
        </w:tc>
      </w:tr>
      <w:tr w:rsidR="004F55C1" w:rsidTr="00816BD2" w14:paraId="03AABE4B" w14:textId="77777777">
        <w:tc>
          <w:tcPr>
            <w:tcW w:w="10456" w:type="dxa"/>
            <w:tcBorders>
              <w:top w:val="nil"/>
              <w:left w:val="nil"/>
              <w:bottom w:val="single" w:color="auto" w:sz="4" w:space="0"/>
              <w:right w:val="nil"/>
            </w:tcBorders>
          </w:tcPr>
          <w:p w:rsidR="00D67FB4" w:rsidRDefault="00D67FB4" w14:paraId="6739FCE4" w14:textId="77777777">
            <w:pPr>
              <w:rPr>
                <w:b/>
                <w:bCs/>
              </w:rPr>
            </w:pPr>
          </w:p>
          <w:p w:rsidRPr="00395493" w:rsidR="00C00DBB" w:rsidP="14AF2B1F" w:rsidRDefault="3ABD7589" w14:paraId="5F20AD71" w14:textId="707D11A8">
            <w:pPr>
              <w:rPr>
                <w:b/>
                <w:bCs/>
              </w:rPr>
            </w:pPr>
            <w:r w:rsidRPr="14AF2B1F">
              <w:rPr>
                <w:b/>
                <w:bCs/>
              </w:rPr>
              <w:t>Educational Aim</w:t>
            </w:r>
            <w:r w:rsidRPr="14AF2B1F" w:rsidR="5E87F744">
              <w:rPr>
                <w:b/>
                <w:bCs/>
              </w:rPr>
              <w:t>s</w:t>
            </w:r>
          </w:p>
        </w:tc>
      </w:tr>
      <w:tr w:rsidR="004F55C1" w:rsidTr="00816BD2" w14:paraId="2FADC174" w14:textId="77777777">
        <w:tc>
          <w:tcPr>
            <w:tcW w:w="10456" w:type="dxa"/>
            <w:tcBorders>
              <w:top w:val="single" w:color="auto" w:sz="4" w:space="0"/>
            </w:tcBorders>
          </w:tcPr>
          <w:p w:rsidR="007E412B" w:rsidRDefault="007E412B" w14:paraId="5C06C85D" w14:textId="183D888A">
            <w:pPr>
              <w:rPr>
                <w:rFonts w:cs="Arial"/>
              </w:rPr>
            </w:pPr>
            <w:r w:rsidRPr="007E412B">
              <w:rPr>
                <w:rFonts w:cs="Arial"/>
              </w:rPr>
              <w:t xml:space="preserve">This class aims to enable students to critically engage with classic and contemporary perspectives and debates within </w:t>
            </w:r>
            <w:r w:rsidR="00030290">
              <w:rPr>
                <w:rFonts w:cs="Arial"/>
              </w:rPr>
              <w:t>cognitive</w:t>
            </w:r>
            <w:r w:rsidRPr="007E412B">
              <w:rPr>
                <w:rFonts w:cs="Arial"/>
              </w:rPr>
              <w:t xml:space="preserve"> psychology. This class is aligned to the British Psychological Society’s QE syllabus and covers key areas within social psychology required for gaining Graduate Basis for Registration.</w:t>
            </w:r>
          </w:p>
          <w:p w:rsidRPr="007E412B" w:rsidR="007E412B" w:rsidRDefault="007E412B" w14:paraId="4852E87C" w14:textId="1899B6CE">
            <w:pPr>
              <w:rPr>
                <w:rFonts w:cs="Arial"/>
              </w:rPr>
            </w:pPr>
          </w:p>
        </w:tc>
      </w:tr>
      <w:tr w:rsidR="004F55C1" w:rsidTr="00816BD2" w14:paraId="743213FE" w14:textId="77777777">
        <w:tc>
          <w:tcPr>
            <w:tcW w:w="10456" w:type="dxa"/>
            <w:tcBorders>
              <w:top w:val="nil"/>
              <w:left w:val="nil"/>
              <w:bottom w:val="single" w:color="auto" w:sz="4" w:space="0"/>
              <w:right w:val="nil"/>
            </w:tcBorders>
          </w:tcPr>
          <w:p w:rsidR="00816BD2" w:rsidRDefault="00816BD2" w14:paraId="6168236E" w14:textId="77777777">
            <w:pPr>
              <w:rPr>
                <w:b/>
                <w:bCs/>
              </w:rPr>
            </w:pPr>
          </w:p>
          <w:p w:rsidRPr="00395493" w:rsidR="003B4557" w:rsidP="00A7244C" w:rsidRDefault="14AA9C4E" w14:paraId="7970B73A" w14:textId="091B542B">
            <w:pPr>
              <w:rPr>
                <w:b/>
                <w:bCs/>
              </w:rPr>
            </w:pPr>
            <w:r w:rsidRPr="67921F4A">
              <w:rPr>
                <w:b/>
                <w:bCs/>
              </w:rPr>
              <w:t>Intended learning outcomes: knowledge and understanding</w:t>
            </w:r>
          </w:p>
        </w:tc>
      </w:tr>
      <w:tr w:rsidR="004F55C1" w:rsidTr="00816BD2" w14:paraId="76DCC488" w14:textId="77777777">
        <w:tc>
          <w:tcPr>
            <w:tcW w:w="10456" w:type="dxa"/>
            <w:tcBorders>
              <w:top w:val="single" w:color="auto" w:sz="4" w:space="0"/>
            </w:tcBorders>
          </w:tcPr>
          <w:p w:rsidR="00030290" w:rsidP="2D681820" w:rsidRDefault="584AB9B3" w14:paraId="61B79A9E" w14:textId="28FAC30A">
            <w:pPr>
              <w:rPr>
                <w:b/>
                <w:bCs/>
                <w:i/>
                <w:iCs/>
              </w:rPr>
            </w:pPr>
            <w:r w:rsidRPr="2D681820">
              <w:rPr>
                <w:b/>
                <w:bCs/>
                <w:i/>
                <w:iCs/>
              </w:rPr>
              <w:t>On completion of this module students will</w:t>
            </w:r>
            <w:r w:rsidR="00C05A1C">
              <w:rPr>
                <w:b/>
                <w:bCs/>
                <w:i/>
                <w:iCs/>
              </w:rPr>
              <w:t>:</w:t>
            </w:r>
          </w:p>
          <w:p w:rsidRPr="00030290" w:rsidR="00030290" w:rsidP="00030290" w:rsidRDefault="00030290" w14:paraId="2BEC49A8" w14:textId="77777777">
            <w:pPr>
              <w:pStyle w:val="ListParagraph"/>
              <w:numPr>
                <w:ilvl w:val="0"/>
                <w:numId w:val="4"/>
              </w:numPr>
              <w:rPr>
                <w:rFonts w:cs="Arial"/>
              </w:rPr>
            </w:pPr>
            <w:r w:rsidRPr="00030290">
              <w:rPr>
                <w:rFonts w:cs="Arial"/>
              </w:rPr>
              <w:t>Demonstrate a clear understanding of key theoretical models in cognitive psychology and neuropsychology.</w:t>
            </w:r>
          </w:p>
          <w:p w:rsidRPr="00030290" w:rsidR="00030290" w:rsidP="00030290" w:rsidRDefault="00030290" w14:paraId="22D28BB9" w14:textId="77777777">
            <w:pPr>
              <w:pStyle w:val="ListParagraph"/>
              <w:numPr>
                <w:ilvl w:val="0"/>
                <w:numId w:val="4"/>
              </w:numPr>
              <w:rPr>
                <w:rFonts w:cs="Arial"/>
              </w:rPr>
            </w:pPr>
            <w:r w:rsidRPr="00030290">
              <w:rPr>
                <w:rFonts w:cs="Arial"/>
              </w:rPr>
              <w:t>Describe and evaluate empirical research and case studies relevant to cognitive functions and brain injury.</w:t>
            </w:r>
          </w:p>
          <w:p w:rsidRPr="00030290" w:rsidR="00030290" w:rsidP="00030290" w:rsidRDefault="00030290" w14:paraId="0246FBF2" w14:textId="77777777">
            <w:pPr>
              <w:pStyle w:val="ListParagraph"/>
              <w:numPr>
                <w:ilvl w:val="0"/>
                <w:numId w:val="4"/>
              </w:numPr>
              <w:rPr>
                <w:rFonts w:cs="Arial"/>
              </w:rPr>
            </w:pPr>
            <w:r w:rsidRPr="00030290">
              <w:rPr>
                <w:rFonts w:cs="Arial"/>
              </w:rPr>
              <w:t>Explain the impact of neurological damage on cognitive processes using evidence from neuropsychological research.</w:t>
            </w:r>
          </w:p>
          <w:p w:rsidRPr="00030290" w:rsidR="00030290" w:rsidP="00030290" w:rsidRDefault="00030290" w14:paraId="783C2E2E" w14:textId="77777777">
            <w:pPr>
              <w:pStyle w:val="ListParagraph"/>
              <w:numPr>
                <w:ilvl w:val="0"/>
                <w:numId w:val="4"/>
              </w:numPr>
              <w:rPr>
                <w:rFonts w:cs="Arial"/>
              </w:rPr>
            </w:pPr>
            <w:r w:rsidRPr="00030290">
              <w:rPr>
                <w:rFonts w:cs="Arial"/>
              </w:rPr>
              <w:t>Understand and compare core research methodologies used in cognitive and neuropsychological studies.</w:t>
            </w:r>
          </w:p>
          <w:p w:rsidR="004F55C1" w:rsidP="00030290" w:rsidRDefault="00030290" w14:paraId="55249108" w14:textId="37C48E8E">
            <w:pPr>
              <w:numPr>
                <w:ilvl w:val="0"/>
                <w:numId w:val="4"/>
              </w:numPr>
              <w:rPr>
                <w:b/>
                <w:bCs/>
                <w:i/>
                <w:iCs/>
              </w:rPr>
            </w:pPr>
            <w:r w:rsidRPr="00BF3470">
              <w:rPr>
                <w:rFonts w:cs="Arial"/>
              </w:rPr>
              <w:t>Identify how findings from cognitive and neuropsychological research contribute to our understanding of</w:t>
            </w:r>
            <w:r w:rsidRPr="00030290">
              <w:rPr>
                <w:rFonts w:cs="Arial"/>
              </w:rPr>
              <w:t xml:space="preserve"> the human mind and behaviour.</w:t>
            </w:r>
          </w:p>
        </w:tc>
      </w:tr>
    </w:tbl>
    <w:p w:rsidR="00030290" w:rsidP="007E412B" w:rsidRDefault="00030290" w14:paraId="13A2D845" w14:textId="77777777">
      <w:pPr>
        <w:spacing w:after="0"/>
        <w:rPr>
          <w:b/>
          <w:bCs/>
          <w:i/>
          <w:iCs/>
        </w:rPr>
      </w:pPr>
    </w:p>
    <w:tbl>
      <w:tblPr>
        <w:tblStyle w:val="TableGrid"/>
        <w:tblW w:w="0" w:type="auto"/>
        <w:tblLook w:val="04A0" w:firstRow="1" w:lastRow="0" w:firstColumn="1" w:lastColumn="0" w:noHBand="0" w:noVBand="1"/>
      </w:tblPr>
      <w:tblGrid>
        <w:gridCol w:w="10456"/>
      </w:tblGrid>
      <w:tr w:rsidR="004F55C1" w:rsidTr="78AD0B0A" w14:paraId="6543FF01" w14:textId="77777777">
        <w:tc>
          <w:tcPr>
            <w:tcW w:w="10456" w:type="dxa"/>
            <w:tcBorders>
              <w:top w:val="nil"/>
              <w:left w:val="nil"/>
              <w:bottom w:val="single" w:color="auto" w:sz="4" w:space="0"/>
              <w:right w:val="nil"/>
            </w:tcBorders>
          </w:tcPr>
          <w:p w:rsidR="00C21FAF" w:rsidP="00395493" w:rsidRDefault="00C21FAF" w14:paraId="3E4BE529" w14:textId="77777777">
            <w:pPr>
              <w:rPr>
                <w:b/>
                <w:bCs/>
              </w:rPr>
            </w:pPr>
          </w:p>
          <w:p w:rsidRPr="00395493" w:rsidR="003B4557" w:rsidP="00395493" w:rsidRDefault="75C7F98D" w14:paraId="3556FD66" w14:textId="7DBA0ABE">
            <w:pPr>
              <w:rPr>
                <w:b/>
                <w:bCs/>
              </w:rPr>
            </w:pPr>
            <w:r w:rsidRPr="2D681820">
              <w:rPr>
                <w:b/>
                <w:bCs/>
              </w:rPr>
              <w:t xml:space="preserve">Intended learning outcomes: subject-specific and </w:t>
            </w:r>
            <w:r w:rsidRPr="2D681820" w:rsidR="15E1BD0B">
              <w:rPr>
                <w:b/>
                <w:bCs/>
              </w:rPr>
              <w:t xml:space="preserve">other </w:t>
            </w:r>
            <w:r w:rsidRPr="2D681820">
              <w:rPr>
                <w:b/>
                <w:bCs/>
              </w:rPr>
              <w:t>transferable skills</w:t>
            </w:r>
            <w:r w:rsidRPr="2D681820" w:rsidR="4CA66594">
              <w:rPr>
                <w:b/>
                <w:bCs/>
              </w:rPr>
              <w:t xml:space="preserve"> and competencies</w:t>
            </w:r>
          </w:p>
        </w:tc>
      </w:tr>
      <w:tr w:rsidR="004F55C1" w:rsidTr="78AD0B0A" w14:paraId="20BD540F" w14:textId="77777777">
        <w:tc>
          <w:tcPr>
            <w:tcW w:w="10456" w:type="dxa"/>
            <w:tcBorders>
              <w:top w:val="single" w:color="auto" w:sz="4" w:space="0"/>
            </w:tcBorders>
          </w:tcPr>
          <w:p w:rsidR="004F55C1" w:rsidP="14AF2B1F" w:rsidRDefault="0DADE7C6" w14:paraId="7C9AB81B" w14:textId="2831660C">
            <w:pPr>
              <w:rPr>
                <w:b/>
                <w:bCs/>
                <w:i/>
                <w:iCs/>
              </w:rPr>
            </w:pPr>
            <w:r w:rsidRPr="14AF2B1F">
              <w:rPr>
                <w:b/>
                <w:bCs/>
                <w:i/>
                <w:iCs/>
              </w:rPr>
              <w:t>On completion of this module students will:</w:t>
            </w:r>
          </w:p>
          <w:p w:rsidRPr="00030290" w:rsidR="00030290" w:rsidP="00030290" w:rsidRDefault="00030290" w14:paraId="529EE505" w14:textId="77777777">
            <w:pPr>
              <w:pStyle w:val="ListParagraph"/>
              <w:numPr>
                <w:ilvl w:val="0"/>
                <w:numId w:val="5"/>
              </w:numPr>
              <w:rPr>
                <w:rFonts w:cs="Arial"/>
              </w:rPr>
            </w:pPr>
            <w:r w:rsidRPr="00030290">
              <w:rPr>
                <w:rFonts w:cs="Arial"/>
              </w:rPr>
              <w:t>Have improved critical thinking skills, including the ability to evaluate competing cognitive and neuropsychological theories, and draw conclusions based on empirical evidence.</w:t>
            </w:r>
          </w:p>
          <w:p w:rsidRPr="00030290" w:rsidR="00030290" w:rsidP="00030290" w:rsidRDefault="00030290" w14:paraId="34C4CCC1" w14:textId="77777777">
            <w:pPr>
              <w:pStyle w:val="ListParagraph"/>
              <w:numPr>
                <w:ilvl w:val="0"/>
                <w:numId w:val="5"/>
              </w:numPr>
              <w:rPr>
                <w:rFonts w:cs="Arial"/>
              </w:rPr>
            </w:pPr>
            <w:r w:rsidRPr="00030290">
              <w:rPr>
                <w:rFonts w:cs="Arial"/>
              </w:rPr>
              <w:t>Have developed creativity and problem-solving abilities, particularly in selecting appropriate methods to investigate cognitive processes and interpret complex data from neuropsychological case studies.</w:t>
            </w:r>
          </w:p>
          <w:p w:rsidRPr="00030290" w:rsidR="00030290" w:rsidP="00030290" w:rsidRDefault="00030290" w14:paraId="7CEFDD14" w14:textId="77777777">
            <w:pPr>
              <w:pStyle w:val="ListParagraph"/>
              <w:numPr>
                <w:ilvl w:val="0"/>
                <w:numId w:val="5"/>
              </w:numPr>
              <w:rPr>
                <w:rFonts w:cs="Arial"/>
              </w:rPr>
            </w:pPr>
            <w:r w:rsidRPr="00030290">
              <w:rPr>
                <w:rFonts w:cs="Arial"/>
              </w:rPr>
              <w:lastRenderedPageBreak/>
              <w:t>Have enhanced practical research skills, including the handling, analysis, and interpretation of behavioural data using statistical software (e.g., SPSS), and the ability to produce a psychological report based on empirical findings.</w:t>
            </w:r>
          </w:p>
          <w:p w:rsidRPr="00030290" w:rsidR="00030290" w:rsidP="00030290" w:rsidRDefault="00030290" w14:paraId="190147B9" w14:textId="77777777">
            <w:pPr>
              <w:pStyle w:val="ListParagraph"/>
              <w:numPr>
                <w:ilvl w:val="0"/>
                <w:numId w:val="5"/>
              </w:numPr>
              <w:rPr>
                <w:rFonts w:cs="Arial"/>
              </w:rPr>
            </w:pPr>
            <w:r w:rsidRPr="00030290">
              <w:rPr>
                <w:rFonts w:cs="Arial"/>
              </w:rPr>
              <w:t>Have improved written communication skills, through producing a structured research report and written examination responses that convey complex psychological information clearly and concisely.</w:t>
            </w:r>
          </w:p>
          <w:p w:rsidRPr="00030290" w:rsidR="00030290" w:rsidP="00030290" w:rsidRDefault="00030290" w14:paraId="612936A2" w14:textId="77777777">
            <w:pPr>
              <w:pStyle w:val="ListParagraph"/>
              <w:numPr>
                <w:ilvl w:val="0"/>
                <w:numId w:val="5"/>
              </w:numPr>
              <w:rPr>
                <w:rFonts w:cs="Arial"/>
              </w:rPr>
            </w:pPr>
            <w:r w:rsidRPr="00030290">
              <w:rPr>
                <w:rFonts w:cs="Arial"/>
              </w:rPr>
              <w:t>Have strengthened independent learning and self-management, demonstrated through engagement with asynchronous materials, reading beyond lectures, and timely completion of coursework.</w:t>
            </w:r>
          </w:p>
          <w:p w:rsidR="004F55C1" w:rsidP="00030290" w:rsidRDefault="00030290" w14:paraId="4C457C45" w14:textId="0521C80F">
            <w:pPr>
              <w:numPr>
                <w:ilvl w:val="0"/>
                <w:numId w:val="5"/>
              </w:numPr>
              <w:rPr>
                <w:b/>
                <w:bCs/>
                <w:i/>
                <w:iCs/>
              </w:rPr>
            </w:pPr>
            <w:r w:rsidRPr="00030290">
              <w:rPr>
                <w:rFonts w:cs="Arial"/>
              </w:rPr>
              <w:t>Have developed digital literacy and online communication skills, including navigating learning platforms (e.g. MyPlace), participating in discussion forums, and using online resources to support psychological learning.</w:t>
            </w:r>
          </w:p>
        </w:tc>
      </w:tr>
    </w:tbl>
    <w:p w:rsidR="004F55C1" w:rsidRDefault="004F55C1" w14:paraId="2003300C" w14:textId="77777777">
      <w:pPr>
        <w:rPr>
          <w:b/>
          <w:bCs/>
          <w:i/>
          <w:iCs/>
        </w:rPr>
      </w:pPr>
    </w:p>
    <w:tbl>
      <w:tblPr>
        <w:tblStyle w:val="TableGrid"/>
        <w:tblW w:w="0" w:type="auto"/>
        <w:tblInd w:w="-5" w:type="dxa"/>
        <w:tblLook w:val="04A0" w:firstRow="1" w:lastRow="0" w:firstColumn="1" w:lastColumn="0" w:noHBand="0" w:noVBand="1"/>
      </w:tblPr>
      <w:tblGrid>
        <w:gridCol w:w="10456"/>
      </w:tblGrid>
      <w:tr w:rsidRPr="008C7A24" w:rsidR="00816BD2" w:rsidTr="5DA6C777" w14:paraId="71BF9AE6" w14:textId="77777777">
        <w:tc>
          <w:tcPr>
            <w:tcW w:w="10456" w:type="dxa"/>
            <w:tcBorders>
              <w:top w:val="nil"/>
              <w:left w:val="nil"/>
              <w:bottom w:val="single" w:color="auto" w:sz="4" w:space="0"/>
              <w:right w:val="nil"/>
            </w:tcBorders>
          </w:tcPr>
          <w:p w:rsidRPr="00C21FAF" w:rsidR="00816BD2" w:rsidP="5DA6C777" w:rsidRDefault="00816BD2" w14:paraId="1ACAD0F9" w14:textId="0D93A62E">
            <w:pPr>
              <w:rPr>
                <w:b/>
                <w:bCs/>
              </w:rPr>
            </w:pPr>
            <w:r w:rsidRPr="14AF2B1F">
              <w:rPr>
                <w:b/>
                <w:bCs/>
              </w:rPr>
              <w:t>Content</w:t>
            </w:r>
            <w:r>
              <w:rPr>
                <w:b/>
                <w:bCs/>
              </w:rPr>
              <w:t>/Syllabus</w:t>
            </w:r>
          </w:p>
        </w:tc>
      </w:tr>
      <w:tr w:rsidR="00816BD2" w:rsidTr="5DA6C777" w14:paraId="4655E507" w14:textId="77777777">
        <w:tc>
          <w:tcPr>
            <w:tcW w:w="10456" w:type="dxa"/>
            <w:tcBorders>
              <w:top w:val="single" w:color="auto" w:sz="4" w:space="0"/>
            </w:tcBorders>
          </w:tcPr>
          <w:p w:rsidR="00A542CE" w:rsidP="00A542CE" w:rsidRDefault="00030290" w14:paraId="7C4DF70C" w14:textId="2549CB9D">
            <w:pPr>
              <w:pStyle w:val="ListParagraph"/>
              <w:numPr>
                <w:ilvl w:val="0"/>
                <w:numId w:val="7"/>
              </w:numPr>
              <w:ind w:left="462"/>
              <w:jc w:val="both"/>
              <w:rPr>
                <w:rFonts w:cs="Arial"/>
              </w:rPr>
            </w:pPr>
            <w:r>
              <w:rPr>
                <w:rFonts w:cs="Arial"/>
              </w:rPr>
              <w:t xml:space="preserve">Introduction to the Central Nervous System </w:t>
            </w:r>
          </w:p>
          <w:p w:rsidR="00030290" w:rsidP="00A542CE" w:rsidRDefault="00030290" w14:paraId="11FC4280" w14:textId="533D46C2">
            <w:pPr>
              <w:pStyle w:val="ListParagraph"/>
              <w:numPr>
                <w:ilvl w:val="0"/>
                <w:numId w:val="7"/>
              </w:numPr>
              <w:ind w:left="462"/>
              <w:jc w:val="both"/>
              <w:rPr>
                <w:rFonts w:cs="Arial"/>
              </w:rPr>
            </w:pPr>
            <w:r>
              <w:rPr>
                <w:rFonts w:cs="Arial"/>
              </w:rPr>
              <w:t>Executive Functioning and Frontal Lobes</w:t>
            </w:r>
          </w:p>
          <w:p w:rsidR="00030290" w:rsidP="00A542CE" w:rsidRDefault="00030290" w14:paraId="5EC9D24A" w14:textId="5BB890E6">
            <w:pPr>
              <w:pStyle w:val="ListParagraph"/>
              <w:numPr>
                <w:ilvl w:val="0"/>
                <w:numId w:val="7"/>
              </w:numPr>
              <w:ind w:left="462"/>
              <w:jc w:val="both"/>
              <w:rPr>
                <w:rFonts w:cs="Arial"/>
              </w:rPr>
            </w:pPr>
            <w:r>
              <w:rPr>
                <w:rFonts w:cs="Arial"/>
              </w:rPr>
              <w:t xml:space="preserve">Neuropsychological Techniques </w:t>
            </w:r>
          </w:p>
          <w:p w:rsidR="00030290" w:rsidP="00A542CE" w:rsidRDefault="00030290" w14:paraId="0647CE88" w14:textId="002EE693">
            <w:pPr>
              <w:pStyle w:val="ListParagraph"/>
              <w:numPr>
                <w:ilvl w:val="0"/>
                <w:numId w:val="7"/>
              </w:numPr>
              <w:ind w:left="462"/>
              <w:jc w:val="both"/>
              <w:rPr>
                <w:rFonts w:cs="Arial"/>
              </w:rPr>
            </w:pPr>
            <w:r>
              <w:rPr>
                <w:rFonts w:cs="Arial"/>
              </w:rPr>
              <w:t>Language</w:t>
            </w:r>
          </w:p>
          <w:p w:rsidR="00030290" w:rsidP="00A542CE" w:rsidRDefault="00030290" w14:paraId="7F6A15FE" w14:textId="31DBE52A">
            <w:pPr>
              <w:pStyle w:val="ListParagraph"/>
              <w:numPr>
                <w:ilvl w:val="0"/>
                <w:numId w:val="7"/>
              </w:numPr>
              <w:ind w:left="462"/>
              <w:jc w:val="both"/>
              <w:rPr>
                <w:rFonts w:cs="Arial"/>
              </w:rPr>
            </w:pPr>
            <w:r>
              <w:rPr>
                <w:rFonts w:cs="Arial"/>
              </w:rPr>
              <w:t xml:space="preserve">Attention and Unilateral Neglect </w:t>
            </w:r>
          </w:p>
          <w:p w:rsidR="00030290" w:rsidP="00A542CE" w:rsidRDefault="00030290" w14:paraId="217FCBA7" w14:textId="5476F953">
            <w:pPr>
              <w:pStyle w:val="ListParagraph"/>
              <w:numPr>
                <w:ilvl w:val="0"/>
                <w:numId w:val="7"/>
              </w:numPr>
              <w:ind w:left="462"/>
              <w:jc w:val="both"/>
              <w:rPr>
                <w:rFonts w:cs="Arial"/>
              </w:rPr>
            </w:pPr>
            <w:r>
              <w:rPr>
                <w:rFonts w:cs="Arial"/>
              </w:rPr>
              <w:t>Alcohol Bias</w:t>
            </w:r>
          </w:p>
          <w:p w:rsidR="00030290" w:rsidP="00A542CE" w:rsidRDefault="00030290" w14:paraId="232EDFAC" w14:textId="2D01258A">
            <w:pPr>
              <w:pStyle w:val="ListParagraph"/>
              <w:numPr>
                <w:ilvl w:val="0"/>
                <w:numId w:val="7"/>
              </w:numPr>
              <w:ind w:left="462"/>
              <w:jc w:val="both"/>
              <w:rPr>
                <w:rFonts w:cs="Arial"/>
              </w:rPr>
            </w:pPr>
            <w:r>
              <w:rPr>
                <w:rFonts w:cs="Arial"/>
              </w:rPr>
              <w:t xml:space="preserve">Memory </w:t>
            </w:r>
          </w:p>
          <w:p w:rsidR="00030290" w:rsidP="00A542CE" w:rsidRDefault="00030290" w14:paraId="35BEA6E0" w14:textId="3F94E60D">
            <w:pPr>
              <w:pStyle w:val="ListParagraph"/>
              <w:numPr>
                <w:ilvl w:val="0"/>
                <w:numId w:val="7"/>
              </w:numPr>
              <w:ind w:left="462"/>
              <w:jc w:val="both"/>
              <w:rPr>
                <w:rFonts w:cs="Arial"/>
              </w:rPr>
            </w:pPr>
            <w:r>
              <w:rPr>
                <w:rFonts w:cs="Arial"/>
              </w:rPr>
              <w:t>Multisensory Perception</w:t>
            </w:r>
          </w:p>
          <w:p w:rsidR="00030290" w:rsidP="00A542CE" w:rsidRDefault="00030290" w14:paraId="178F2052" w14:textId="125B69CD">
            <w:pPr>
              <w:pStyle w:val="ListParagraph"/>
              <w:numPr>
                <w:ilvl w:val="0"/>
                <w:numId w:val="7"/>
              </w:numPr>
              <w:ind w:left="462"/>
              <w:jc w:val="both"/>
              <w:rPr>
                <w:rFonts w:cs="Arial"/>
              </w:rPr>
            </w:pPr>
            <w:r>
              <w:rPr>
                <w:rFonts w:cs="Arial"/>
              </w:rPr>
              <w:t xml:space="preserve">Emotion </w:t>
            </w:r>
          </w:p>
          <w:p w:rsidR="00030290" w:rsidP="00A542CE" w:rsidRDefault="00030290" w14:paraId="2BF7EB5C" w14:textId="348AA1AC">
            <w:pPr>
              <w:pStyle w:val="ListParagraph"/>
              <w:numPr>
                <w:ilvl w:val="0"/>
                <w:numId w:val="7"/>
              </w:numPr>
              <w:ind w:left="462"/>
              <w:jc w:val="both"/>
              <w:rPr>
                <w:rFonts w:cs="Arial"/>
              </w:rPr>
            </w:pPr>
            <w:r>
              <w:rPr>
                <w:rFonts w:cs="Arial"/>
              </w:rPr>
              <w:t>Morality and Ethics</w:t>
            </w:r>
          </w:p>
          <w:p w:rsidRPr="00030290" w:rsidR="00816BD2" w:rsidP="00030290" w:rsidRDefault="00030290" w14:paraId="0F36DA00" w14:textId="743E2371">
            <w:pPr>
              <w:pStyle w:val="ListParagraph"/>
              <w:numPr>
                <w:ilvl w:val="0"/>
                <w:numId w:val="7"/>
              </w:numPr>
              <w:ind w:left="462"/>
              <w:jc w:val="both"/>
              <w:rPr>
                <w:rFonts w:cs="Arial"/>
              </w:rPr>
            </w:pPr>
            <w:r>
              <w:rPr>
                <w:rFonts w:cs="Arial"/>
              </w:rPr>
              <w:t xml:space="preserve">Exam Preparation </w:t>
            </w:r>
          </w:p>
        </w:tc>
      </w:tr>
      <w:tr w:rsidR="003B4557" w:rsidTr="5DA6C777" w14:paraId="68F6766A" w14:textId="77777777">
        <w:trPr>
          <w:trHeight w:val="300"/>
        </w:trPr>
        <w:tc>
          <w:tcPr>
            <w:tcW w:w="10456" w:type="dxa"/>
            <w:tcBorders>
              <w:top w:val="nil"/>
              <w:left w:val="nil"/>
              <w:bottom w:val="single" w:color="auto" w:sz="4" w:space="0"/>
              <w:right w:val="nil"/>
            </w:tcBorders>
          </w:tcPr>
          <w:p w:rsidR="00816BD2" w:rsidP="003B4557" w:rsidRDefault="00816BD2" w14:paraId="463FF6FA" w14:textId="77777777">
            <w:pPr>
              <w:rPr>
                <w:b/>
                <w:bCs/>
              </w:rPr>
            </w:pPr>
          </w:p>
          <w:p w:rsidRPr="003B4557" w:rsidR="003B4557" w:rsidP="003B4557" w:rsidRDefault="003B4557" w14:paraId="582D9D40" w14:textId="726FCE08">
            <w:pPr>
              <w:rPr>
                <w:b/>
                <w:bCs/>
              </w:rPr>
            </w:pPr>
            <w:r>
              <w:rPr>
                <w:b/>
                <w:bCs/>
              </w:rPr>
              <w:t>Teaching, Learning &amp; Assessment Methods</w:t>
            </w:r>
          </w:p>
        </w:tc>
      </w:tr>
      <w:tr w:rsidR="003B4557" w:rsidTr="5DA6C777" w14:paraId="2E440365" w14:textId="77777777">
        <w:trPr>
          <w:trHeight w:val="300"/>
        </w:trPr>
        <w:tc>
          <w:tcPr>
            <w:tcW w:w="10456" w:type="dxa"/>
            <w:tcBorders>
              <w:top w:val="single" w:color="auto" w:sz="4" w:space="0"/>
              <w:bottom w:val="single" w:color="auto" w:sz="4" w:space="0"/>
            </w:tcBorders>
          </w:tcPr>
          <w:p w:rsidRPr="00C21FAF" w:rsidR="003B4557" w:rsidP="00C21FAF" w:rsidRDefault="003B4557" w14:paraId="64E3C4AF" w14:textId="745AFD6A">
            <w:pPr>
              <w:rPr>
                <w:b/>
                <w:bCs/>
                <w:i/>
                <w:iCs/>
              </w:rPr>
            </w:pPr>
            <w:r>
              <w:rPr>
                <w:b/>
                <w:bCs/>
                <w:i/>
                <w:iCs/>
              </w:rPr>
              <w:t>Methods of Teaching</w:t>
            </w:r>
          </w:p>
          <w:p w:rsidR="00395493" w:rsidP="00395493" w:rsidRDefault="00395493" w14:paraId="37D8A4AD" w14:textId="63350A63">
            <w:pPr>
              <w:jc w:val="both"/>
            </w:pPr>
            <w:r>
              <w:t>The class is taught by means of lectures and asynchronous learning activities. Students are expected to critically engage with the material presented and to explore the wider literature related to cognitive psychology and neuropsychology. Lectures provide a structured overview of the key theories, empirical studies, and case examples, and are supported by supplementary online content such as readings and videos, all of which are accessible via the class MyPlace page.</w:t>
            </w:r>
          </w:p>
          <w:p w:rsidR="00395493" w:rsidP="00395493" w:rsidRDefault="00395493" w14:paraId="45F78B3C" w14:textId="04DC7313">
            <w:pPr>
              <w:jc w:val="both"/>
            </w:pPr>
            <w:r>
              <w:t>Lecture slides will normally be provided in advance to support note-taking and engagement during sessions. Tutors will aim to release slides 24-hours before each class. Asynchronous materials are also made available to help students consolidate learning and explore topics in greater depth at their own pace. Students are encouraged to take an active role in their own learning by reading widely and using online resources to support their understanding of the class topics.</w:t>
            </w:r>
          </w:p>
          <w:p w:rsidR="00395493" w:rsidP="00395493" w:rsidRDefault="00395493" w14:paraId="5B8B542D" w14:textId="18376417">
            <w:pPr>
              <w:jc w:val="both"/>
            </w:pPr>
            <w:r>
              <w:t>The class is assessed by one practical report and one final assessment (examination). The practical report counts for 30% and the final examination counts for 70% of the overall class mark. The practical component will be introduced and explained in lectures and will involve analysing a dataset, investigating the literature, and writing up the results. Students will be required to apply prior learning in research methods and statistical analysis (e.g., from earlier research methods classes) in order to generate hypotheses, analyse data, and produce a psychological report.</w:t>
            </w:r>
          </w:p>
          <w:p w:rsidR="00C21FAF" w:rsidP="00395493" w:rsidRDefault="00395493" w14:paraId="5CD3D255" w14:textId="77777777">
            <w:pPr>
              <w:jc w:val="both"/>
            </w:pPr>
            <w:r>
              <w:t>The final examination will include two sections: a multiple-choice section and an essay section. Section A will consist of essay questions from which students will answer one. Section B will contain multiple-choice questions, each with four response options, covering material from across the course. The exam will be held during the University’s Spring exam diet.</w:t>
            </w:r>
          </w:p>
          <w:p w:rsidRPr="00395493" w:rsidR="003E72D2" w:rsidP="00395493" w:rsidRDefault="003E72D2" w14:paraId="05B93C1E" w14:textId="5881E6B3">
            <w:pPr>
              <w:jc w:val="both"/>
            </w:pPr>
          </w:p>
        </w:tc>
      </w:tr>
      <w:tr w:rsidR="003B4557" w:rsidTr="5DA6C777" w14:paraId="607A9EE8" w14:textId="77777777">
        <w:trPr>
          <w:trHeight w:val="300"/>
        </w:trPr>
        <w:tc>
          <w:tcPr>
            <w:tcW w:w="10456" w:type="dxa"/>
            <w:tcBorders>
              <w:top w:val="single" w:color="auto" w:sz="4" w:space="0"/>
              <w:bottom w:val="single" w:color="auto" w:sz="4" w:space="0"/>
            </w:tcBorders>
          </w:tcPr>
          <w:p w:rsidR="005F53DB" w:rsidP="14AF2B1F" w:rsidRDefault="4313BD4E" w14:paraId="1CF85A1A" w14:textId="269EDCAF">
            <w:pPr>
              <w:rPr>
                <w:b/>
                <w:bCs/>
                <w:i/>
                <w:iCs/>
              </w:rPr>
            </w:pPr>
            <w:r w:rsidRPr="14AF2B1F">
              <w:rPr>
                <w:b/>
                <w:bCs/>
                <w:i/>
                <w:iCs/>
              </w:rPr>
              <w:t>Assessment &amp; Feedback</w:t>
            </w:r>
          </w:p>
          <w:p w:rsidRPr="00395493" w:rsidR="00395493" w:rsidP="14AF2B1F" w:rsidRDefault="00395493" w14:paraId="7FA42C96" w14:textId="77777777">
            <w:pPr>
              <w:rPr>
                <w:b/>
                <w:bCs/>
                <w:i/>
                <w:iCs/>
              </w:rPr>
            </w:pPr>
          </w:p>
          <w:tbl>
            <w:tblPr>
              <w:tblStyle w:val="TableGrid"/>
              <w:tblW w:w="10205" w:type="dxa"/>
              <w:tblLook w:val="04A0" w:firstRow="1" w:lastRow="0" w:firstColumn="1" w:lastColumn="0" w:noHBand="0" w:noVBand="1"/>
            </w:tblPr>
            <w:tblGrid>
              <w:gridCol w:w="1687"/>
              <w:gridCol w:w="1576"/>
              <w:gridCol w:w="1294"/>
              <w:gridCol w:w="2583"/>
              <w:gridCol w:w="1394"/>
              <w:gridCol w:w="1671"/>
            </w:tblGrid>
            <w:tr w:rsidR="005F53DB" w:rsidTr="008B1E7A" w14:paraId="760B5F40" w14:textId="77777777">
              <w:trPr>
                <w:trHeight w:val="300"/>
              </w:trPr>
              <w:tc>
                <w:tcPr>
                  <w:tcW w:w="1703" w:type="dxa"/>
                </w:tcPr>
                <w:p w:rsidR="005F53DB" w:rsidP="00A7244C" w:rsidRDefault="005F53DB" w14:paraId="5C43D1C1" w14:textId="4D7E16FF">
                  <w:pPr>
                    <w:rPr>
                      <w:b/>
                      <w:bCs/>
                      <w:i/>
                      <w:iCs/>
                    </w:rPr>
                  </w:pPr>
                  <w:r>
                    <w:rPr>
                      <w:b/>
                      <w:bCs/>
                      <w:i/>
                      <w:iCs/>
                    </w:rPr>
                    <w:t>Assessment Type</w:t>
                  </w:r>
                </w:p>
              </w:tc>
              <w:tc>
                <w:tcPr>
                  <w:tcW w:w="1585" w:type="dxa"/>
                </w:tcPr>
                <w:p w:rsidR="005F53DB" w:rsidP="00A7244C" w:rsidRDefault="005F53DB" w14:paraId="30D2B846" w14:textId="510549F9">
                  <w:pPr>
                    <w:rPr>
                      <w:b/>
                      <w:bCs/>
                      <w:i/>
                      <w:iCs/>
                    </w:rPr>
                  </w:pPr>
                  <w:r>
                    <w:rPr>
                      <w:b/>
                      <w:bCs/>
                      <w:i/>
                      <w:iCs/>
                    </w:rPr>
                    <w:t>Assessment Description</w:t>
                  </w:r>
                </w:p>
              </w:tc>
              <w:tc>
                <w:tcPr>
                  <w:tcW w:w="1299" w:type="dxa"/>
                </w:tcPr>
                <w:p w:rsidR="005F53DB" w:rsidP="00A7244C" w:rsidRDefault="005F53DB" w14:paraId="1EF42322" w14:textId="13F27934">
                  <w:pPr>
                    <w:rPr>
                      <w:b/>
                      <w:bCs/>
                      <w:i/>
                      <w:iCs/>
                    </w:rPr>
                  </w:pPr>
                  <w:r>
                    <w:rPr>
                      <w:b/>
                      <w:bCs/>
                      <w:i/>
                      <w:iCs/>
                    </w:rPr>
                    <w:t>Weighting</w:t>
                  </w:r>
                </w:p>
              </w:tc>
              <w:tc>
                <w:tcPr>
                  <w:tcW w:w="2674" w:type="dxa"/>
                </w:tcPr>
                <w:p w:rsidR="005F53DB" w:rsidP="67921F4A" w:rsidRDefault="1DD16B81" w14:paraId="16F490B1" w14:textId="42A7DF88">
                  <w:pPr>
                    <w:rPr>
                      <w:b/>
                      <w:bCs/>
                      <w:i/>
                      <w:iCs/>
                    </w:rPr>
                  </w:pPr>
                  <w:r w:rsidRPr="67921F4A">
                    <w:rPr>
                      <w:b/>
                      <w:bCs/>
                      <w:i/>
                      <w:iCs/>
                    </w:rPr>
                    <w:t>Alignment with LO</w:t>
                  </w:r>
                </w:p>
              </w:tc>
              <w:tc>
                <w:tcPr>
                  <w:tcW w:w="1241" w:type="dxa"/>
                </w:tcPr>
                <w:p w:rsidR="005F53DB" w:rsidP="00A7244C" w:rsidRDefault="00C2729C" w14:paraId="3F5F98C3" w14:textId="58C1461C">
                  <w:pPr>
                    <w:rPr>
                      <w:b/>
                      <w:bCs/>
                      <w:i/>
                      <w:iCs/>
                    </w:rPr>
                  </w:pPr>
                  <w:r>
                    <w:rPr>
                      <w:b/>
                      <w:bCs/>
                      <w:i/>
                      <w:iCs/>
                    </w:rPr>
                    <w:t xml:space="preserve">Timing of </w:t>
                  </w:r>
                  <w:r w:rsidR="005F53DB">
                    <w:rPr>
                      <w:b/>
                      <w:bCs/>
                      <w:i/>
                      <w:iCs/>
                    </w:rPr>
                    <w:t>Submission</w:t>
                  </w:r>
                </w:p>
              </w:tc>
              <w:tc>
                <w:tcPr>
                  <w:tcW w:w="1703" w:type="dxa"/>
                </w:tcPr>
                <w:p w:rsidR="005F53DB" w:rsidP="67921F4A" w:rsidRDefault="00CC38EC" w14:paraId="51744F19" w14:textId="3697B3C2">
                  <w:pPr>
                    <w:rPr>
                      <w:b/>
                      <w:bCs/>
                      <w:i/>
                      <w:iCs/>
                    </w:rPr>
                  </w:pPr>
                  <w:r>
                    <w:rPr>
                      <w:b/>
                      <w:bCs/>
                      <w:i/>
                      <w:iCs/>
                    </w:rPr>
                    <w:t xml:space="preserve">Nature of </w:t>
                  </w:r>
                  <w:r w:rsidRPr="67921F4A" w:rsidR="1DD16B81">
                    <w:rPr>
                      <w:b/>
                      <w:bCs/>
                      <w:i/>
                      <w:iCs/>
                    </w:rPr>
                    <w:t xml:space="preserve">Feedback </w:t>
                  </w:r>
                </w:p>
              </w:tc>
            </w:tr>
            <w:tr w:rsidR="005F53DB" w:rsidTr="008B1E7A" w14:paraId="5B5DEBD1" w14:textId="77777777">
              <w:trPr>
                <w:trHeight w:val="300"/>
              </w:trPr>
              <w:tc>
                <w:tcPr>
                  <w:tcW w:w="1703" w:type="dxa"/>
                </w:tcPr>
                <w:p w:rsidRPr="0008351F" w:rsidR="005F53DB" w:rsidP="00A7244C" w:rsidRDefault="0008351F" w14:paraId="2D520D0B" w14:textId="3529698F">
                  <w:r>
                    <w:t>Final</w:t>
                  </w:r>
                </w:p>
              </w:tc>
              <w:tc>
                <w:tcPr>
                  <w:tcW w:w="1585" w:type="dxa"/>
                </w:tcPr>
                <w:p w:rsidRPr="0008351F" w:rsidR="005F53DB" w:rsidP="00A7244C" w:rsidRDefault="0008351F" w14:paraId="3FCB1CF6" w14:textId="25EC9166">
                  <w:pPr>
                    <w:rPr>
                      <w:bCs/>
                      <w:iCs/>
                    </w:rPr>
                  </w:pPr>
                  <w:r w:rsidRPr="0008351F">
                    <w:rPr>
                      <w:bCs/>
                      <w:iCs/>
                    </w:rPr>
                    <w:t>Exam</w:t>
                  </w:r>
                </w:p>
              </w:tc>
              <w:tc>
                <w:tcPr>
                  <w:tcW w:w="1299" w:type="dxa"/>
                </w:tcPr>
                <w:p w:rsidRPr="0008351F" w:rsidR="005F53DB" w:rsidP="00A7244C" w:rsidRDefault="00395493" w14:paraId="6E22EB85" w14:textId="06168276">
                  <w:pPr>
                    <w:rPr>
                      <w:bCs/>
                      <w:iCs/>
                    </w:rPr>
                  </w:pPr>
                  <w:r>
                    <w:rPr>
                      <w:bCs/>
                      <w:iCs/>
                    </w:rPr>
                    <w:t>70</w:t>
                  </w:r>
                </w:p>
              </w:tc>
              <w:tc>
                <w:tcPr>
                  <w:tcW w:w="2674" w:type="dxa"/>
                </w:tcPr>
                <w:p w:rsidRPr="0008351F" w:rsidR="0008351F" w:rsidP="0008351F" w:rsidRDefault="00A3003E" w14:paraId="4CB24B92" w14:textId="090BA334">
                  <w:pPr>
                    <w:rPr>
                      <w:bCs/>
                      <w:iCs/>
                    </w:rPr>
                  </w:pPr>
                  <w:r>
                    <w:rPr>
                      <w:bCs/>
                      <w:iCs/>
                    </w:rPr>
                    <w:t>1, 2, 4, 5</w:t>
                  </w:r>
                </w:p>
              </w:tc>
              <w:tc>
                <w:tcPr>
                  <w:tcW w:w="1241" w:type="dxa"/>
                </w:tcPr>
                <w:p w:rsidRPr="0008351F" w:rsidR="005F53DB" w:rsidP="00A7244C" w:rsidRDefault="0008351F" w14:paraId="6F09FC6C" w14:textId="4D3D3C4B">
                  <w:pPr>
                    <w:rPr>
                      <w:bCs/>
                      <w:iCs/>
                    </w:rPr>
                  </w:pPr>
                  <w:r>
                    <w:rPr>
                      <w:bCs/>
                      <w:iCs/>
                    </w:rPr>
                    <w:t>Exam diet</w:t>
                  </w:r>
                </w:p>
              </w:tc>
              <w:tc>
                <w:tcPr>
                  <w:tcW w:w="1703" w:type="dxa"/>
                </w:tcPr>
                <w:p w:rsidRPr="0008351F" w:rsidR="005F53DB" w:rsidP="00A7244C" w:rsidRDefault="0008351F" w14:paraId="6D25BA03" w14:textId="1C803749">
                  <w:pPr>
                    <w:rPr>
                      <w:bCs/>
                      <w:iCs/>
                    </w:rPr>
                  </w:pPr>
                  <w:r>
                    <w:rPr>
                      <w:bCs/>
                      <w:iCs/>
                    </w:rPr>
                    <w:t>Mark</w:t>
                  </w:r>
                  <w:r w:rsidR="00A828DD">
                    <w:rPr>
                      <w:bCs/>
                      <w:iCs/>
                    </w:rPr>
                    <w:t xml:space="preserve"> only</w:t>
                  </w:r>
                  <w:r>
                    <w:rPr>
                      <w:bCs/>
                      <w:iCs/>
                    </w:rPr>
                    <w:t xml:space="preserve"> </w:t>
                  </w:r>
                </w:p>
              </w:tc>
            </w:tr>
            <w:tr w:rsidR="005F53DB" w:rsidTr="008B1E7A" w14:paraId="54116436" w14:textId="77777777">
              <w:trPr>
                <w:trHeight w:val="300"/>
              </w:trPr>
              <w:tc>
                <w:tcPr>
                  <w:tcW w:w="1703" w:type="dxa"/>
                </w:tcPr>
                <w:p w:rsidRPr="0008351F" w:rsidR="005F53DB" w:rsidP="00A7244C" w:rsidRDefault="0008351F" w14:paraId="3D2C8BF7" w14:textId="0ED50E1F">
                  <w:pPr>
                    <w:rPr>
                      <w:bCs/>
                      <w:iCs/>
                    </w:rPr>
                  </w:pPr>
                  <w:r w:rsidRPr="0008351F">
                    <w:rPr>
                      <w:bCs/>
                      <w:iCs/>
                    </w:rPr>
                    <w:t>Coursework</w:t>
                  </w:r>
                </w:p>
              </w:tc>
              <w:tc>
                <w:tcPr>
                  <w:tcW w:w="1585" w:type="dxa"/>
                </w:tcPr>
                <w:p w:rsidRPr="0008351F" w:rsidR="005F53DB" w:rsidP="0008351F" w:rsidRDefault="00395493" w14:paraId="710250CE" w14:textId="6C8C9454">
                  <w:pPr>
                    <w:rPr>
                      <w:bCs/>
                      <w:iCs/>
                    </w:rPr>
                  </w:pPr>
                  <w:r>
                    <w:rPr>
                      <w:bCs/>
                      <w:iCs/>
                    </w:rPr>
                    <w:t>Psychology report</w:t>
                  </w:r>
                </w:p>
              </w:tc>
              <w:tc>
                <w:tcPr>
                  <w:tcW w:w="1299" w:type="dxa"/>
                </w:tcPr>
                <w:p w:rsidRPr="0008351F" w:rsidR="005F53DB" w:rsidP="00A7244C" w:rsidRDefault="00395493" w14:paraId="00E2D305" w14:textId="44C0453A">
                  <w:pPr>
                    <w:rPr>
                      <w:bCs/>
                      <w:iCs/>
                    </w:rPr>
                  </w:pPr>
                  <w:r>
                    <w:rPr>
                      <w:bCs/>
                      <w:iCs/>
                    </w:rPr>
                    <w:t>30</w:t>
                  </w:r>
                </w:p>
              </w:tc>
              <w:tc>
                <w:tcPr>
                  <w:tcW w:w="2674" w:type="dxa"/>
                </w:tcPr>
                <w:p w:rsidRPr="0008351F" w:rsidR="005F53DB" w:rsidP="008B1E7A" w:rsidRDefault="00A3003E" w14:paraId="18C614C0" w14:textId="4BF2F4D8">
                  <w:pPr>
                    <w:rPr>
                      <w:bCs/>
                      <w:iCs/>
                    </w:rPr>
                  </w:pPr>
                  <w:r>
                    <w:rPr>
                      <w:bCs/>
                      <w:iCs/>
                    </w:rPr>
                    <w:t>1, 2, 3, 4, 5, 6</w:t>
                  </w:r>
                </w:p>
              </w:tc>
              <w:tc>
                <w:tcPr>
                  <w:tcW w:w="1241" w:type="dxa"/>
                </w:tcPr>
                <w:p w:rsidRPr="0008351F" w:rsidR="005F53DB" w:rsidP="00A7244C" w:rsidRDefault="0008351F" w14:paraId="0216CA7E" w14:textId="6B32A34B">
                  <w:pPr>
                    <w:rPr>
                      <w:bCs/>
                      <w:iCs/>
                    </w:rPr>
                  </w:pPr>
                  <w:r>
                    <w:rPr>
                      <w:bCs/>
                      <w:iCs/>
                    </w:rPr>
                    <w:t>Week 11</w:t>
                  </w:r>
                </w:p>
              </w:tc>
              <w:tc>
                <w:tcPr>
                  <w:tcW w:w="1703" w:type="dxa"/>
                </w:tcPr>
                <w:p w:rsidRPr="0008351F" w:rsidR="005F53DB" w:rsidP="0008351F" w:rsidRDefault="0008351F" w14:paraId="3F63005A" w14:textId="6977BFEE">
                  <w:pPr>
                    <w:rPr>
                      <w:bCs/>
                      <w:iCs/>
                    </w:rPr>
                  </w:pPr>
                  <w:r>
                    <w:rPr>
                      <w:bCs/>
                      <w:iCs/>
                    </w:rPr>
                    <w:t>Mark + Individual Written feedback</w:t>
                  </w:r>
                </w:p>
              </w:tc>
            </w:tr>
          </w:tbl>
          <w:p w:rsidR="003B4557" w:rsidP="00A7244C" w:rsidRDefault="003B4557" w14:paraId="3CB2CFAB" w14:textId="77777777">
            <w:pPr>
              <w:rPr>
                <w:b/>
                <w:bCs/>
                <w:i/>
                <w:iCs/>
              </w:rPr>
            </w:pPr>
          </w:p>
          <w:p w:rsidRPr="00395493" w:rsidR="00395493" w:rsidP="00A7244C" w:rsidRDefault="7060CBCB" w14:paraId="26B09CC3" w14:textId="232F199A">
            <w:pPr>
              <w:rPr>
                <w:b/>
                <w:bCs/>
                <w:i/>
                <w:iCs/>
              </w:rPr>
            </w:pPr>
            <w:r w:rsidRPr="00395493">
              <w:rPr>
                <w:b/>
                <w:bCs/>
                <w:i/>
                <w:iCs/>
              </w:rPr>
              <w:t>For this module, a</w:t>
            </w:r>
            <w:r w:rsidRPr="00395493" w:rsidR="6EAB9196">
              <w:rPr>
                <w:b/>
                <w:bCs/>
                <w:i/>
                <w:iCs/>
              </w:rPr>
              <w:t xml:space="preserve"> pass is required for the module overall</w:t>
            </w:r>
            <w:r w:rsidR="00395493">
              <w:rPr>
                <w:b/>
                <w:bCs/>
                <w:i/>
                <w:iCs/>
              </w:rPr>
              <w:t xml:space="preserve"> (i.e., Pass or Pass by Compensation). </w:t>
            </w:r>
          </w:p>
        </w:tc>
      </w:tr>
      <w:tr w:rsidR="003B4557" w:rsidTr="5DA6C777" w14:paraId="7BC752D9" w14:textId="77777777">
        <w:trPr>
          <w:trHeight w:val="300"/>
        </w:trPr>
        <w:tc>
          <w:tcPr>
            <w:tcW w:w="10456" w:type="dxa"/>
            <w:tcBorders>
              <w:top w:val="single" w:color="auto" w:sz="4" w:space="0"/>
              <w:bottom w:val="single" w:color="auto" w:sz="4" w:space="0"/>
            </w:tcBorders>
          </w:tcPr>
          <w:p w:rsidR="005F53DB" w:rsidP="00A7244C" w:rsidRDefault="003B4557" w14:paraId="42DEF532" w14:textId="1FA11DB4">
            <w:pPr>
              <w:rPr>
                <w:i/>
                <w:iCs/>
              </w:rPr>
            </w:pPr>
            <w:r>
              <w:rPr>
                <w:b/>
                <w:bCs/>
                <w:i/>
                <w:iCs/>
              </w:rPr>
              <w:lastRenderedPageBreak/>
              <w:t>Assessment Resit Information</w:t>
            </w:r>
            <w:r w:rsidR="005F53DB">
              <w:rPr>
                <w:b/>
                <w:bCs/>
                <w:i/>
                <w:iCs/>
              </w:rPr>
              <w:t xml:space="preserve">. </w:t>
            </w:r>
          </w:p>
          <w:p w:rsidRPr="0008351F" w:rsidR="005F53DB" w:rsidP="00A7244C" w:rsidRDefault="00A542CE" w14:paraId="4F5EA42D" w14:textId="6F583638">
            <w:pPr>
              <w:rPr>
                <w:i/>
                <w:iCs/>
              </w:rPr>
            </w:pPr>
            <w:r w:rsidRPr="0008351F">
              <w:rPr>
                <w:rFonts w:cs="Arial"/>
              </w:rPr>
              <w:t>If students do not pass the class, there will be an opportunity to take a resit examination</w:t>
            </w:r>
            <w:r w:rsidR="00FD2E50">
              <w:rPr>
                <w:rFonts w:cs="Arial"/>
              </w:rPr>
              <w:t>,</w:t>
            </w:r>
            <w:r w:rsidRPr="0008351F">
              <w:rPr>
                <w:rFonts w:cs="Arial"/>
              </w:rPr>
              <w:t xml:space="preserve"> coursework</w:t>
            </w:r>
            <w:r w:rsidR="00FD2E50">
              <w:rPr>
                <w:rFonts w:cs="Arial"/>
              </w:rPr>
              <w:t>, or both (depending on which assessment did not attain a pass mark at the first attempt)</w:t>
            </w:r>
            <w:r w:rsidRPr="0008351F">
              <w:rPr>
                <w:rFonts w:cs="Arial"/>
              </w:rPr>
              <w:t xml:space="preserve"> in the University’s resit exam </w:t>
            </w:r>
            <w:r w:rsidR="00FD2E50">
              <w:rPr>
                <w:rFonts w:cs="Arial"/>
              </w:rPr>
              <w:t>diet (July/August) for students</w:t>
            </w:r>
            <w:r w:rsidRPr="0008351F">
              <w:rPr>
                <w:rFonts w:cs="Arial"/>
              </w:rPr>
              <w:t>.</w:t>
            </w:r>
          </w:p>
          <w:p w:rsidR="003B4557" w:rsidP="00A7244C" w:rsidRDefault="003B4557" w14:paraId="58E246EA" w14:textId="5F41DE79">
            <w:pPr>
              <w:rPr>
                <w:b/>
                <w:bCs/>
                <w:i/>
                <w:iCs/>
              </w:rPr>
            </w:pPr>
          </w:p>
        </w:tc>
      </w:tr>
      <w:tr w:rsidR="003B4557" w:rsidTr="5DA6C777" w14:paraId="741FC37D" w14:textId="77777777">
        <w:trPr>
          <w:trHeight w:val="300"/>
        </w:trPr>
        <w:tc>
          <w:tcPr>
            <w:tcW w:w="10456" w:type="dxa"/>
            <w:tcBorders>
              <w:top w:val="single" w:color="auto" w:sz="4" w:space="0"/>
            </w:tcBorders>
          </w:tcPr>
          <w:p w:rsidR="00BF48B4" w:rsidP="00BF48B4" w:rsidRDefault="43046352" w14:paraId="258B64C2" w14:textId="4BCFDE49">
            <w:pPr>
              <w:jc w:val="both"/>
              <w:rPr>
                <w:rFonts w:eastAsiaTheme="minorEastAsia"/>
              </w:rPr>
            </w:pPr>
            <w:r w:rsidRPr="5DA6C777">
              <w:rPr>
                <w:b/>
                <w:bCs/>
                <w:i/>
                <w:iCs/>
              </w:rPr>
              <w:t>Other sources of feedback:</w:t>
            </w:r>
            <w:r w:rsidRPr="5DA6C777" w:rsidR="0C5A1026">
              <w:rPr>
                <w:b/>
                <w:bCs/>
                <w:i/>
                <w:iCs/>
              </w:rPr>
              <w:t xml:space="preserve"> </w:t>
            </w:r>
            <w:r w:rsidRPr="5DA6C777" w:rsidR="0C5A1026">
              <w:rPr>
                <w:rFonts w:eastAsiaTheme="minorEastAsia"/>
              </w:rPr>
              <w:t>In addition to the feedback</w:t>
            </w:r>
            <w:r w:rsidRPr="5DA6C777" w:rsidR="28468E00">
              <w:rPr>
                <w:rFonts w:eastAsiaTheme="minorEastAsia"/>
              </w:rPr>
              <w:t xml:space="preserve"> on formal assessments</w:t>
            </w:r>
            <w:r w:rsidRPr="5DA6C777" w:rsidR="0C5A1026">
              <w:rPr>
                <w:rFonts w:eastAsiaTheme="minorEastAsia"/>
              </w:rPr>
              <w:t xml:space="preserve"> noted above, </w:t>
            </w:r>
            <w:r w:rsidRPr="5DA6C777" w:rsidR="03C3B027">
              <w:rPr>
                <w:rFonts w:eastAsiaTheme="minorEastAsia"/>
              </w:rPr>
              <w:t>feedback is provided</w:t>
            </w:r>
            <w:r w:rsidRPr="5DA6C777" w:rsidR="16DE225F">
              <w:rPr>
                <w:rFonts w:eastAsiaTheme="minorEastAsia"/>
              </w:rPr>
              <w:t xml:space="preserve"> to students</w:t>
            </w:r>
            <w:r w:rsidRPr="5DA6C777" w:rsidR="03C3B027">
              <w:rPr>
                <w:rFonts w:eastAsiaTheme="minorEastAsia"/>
              </w:rPr>
              <w:t xml:space="preserve"> </w:t>
            </w:r>
            <w:r w:rsidRPr="5DA6C777" w:rsidR="3623529B">
              <w:rPr>
                <w:rFonts w:eastAsiaTheme="minorEastAsia"/>
              </w:rPr>
              <w:t>in response to</w:t>
            </w:r>
            <w:r w:rsidRPr="5DA6C777" w:rsidR="0C5A1026">
              <w:rPr>
                <w:rFonts w:eastAsiaTheme="minorEastAsia"/>
              </w:rPr>
              <w:t xml:space="preserve"> question</w:t>
            </w:r>
            <w:r w:rsidRPr="5DA6C777" w:rsidR="3623529B">
              <w:rPr>
                <w:rFonts w:eastAsiaTheme="minorEastAsia"/>
              </w:rPr>
              <w:t>s</w:t>
            </w:r>
            <w:r w:rsidRPr="5DA6C777" w:rsidR="0C5A1026">
              <w:rPr>
                <w:rFonts w:eastAsiaTheme="minorEastAsia"/>
              </w:rPr>
              <w:t xml:space="preserve"> before, after, or during a lecture</w:t>
            </w:r>
            <w:r w:rsidRPr="5DA6C777" w:rsidR="0C9BCAFC">
              <w:rPr>
                <w:rFonts w:eastAsiaTheme="minorEastAsia"/>
              </w:rPr>
              <w:t>.</w:t>
            </w:r>
            <w:r w:rsidRPr="5DA6C777" w:rsidR="0C5A1026">
              <w:rPr>
                <w:rFonts w:eastAsiaTheme="minorEastAsia"/>
              </w:rPr>
              <w:t xml:space="preserve"> </w:t>
            </w:r>
          </w:p>
          <w:p w:rsidR="003B4557" w:rsidP="00230217" w:rsidRDefault="003B4557" w14:paraId="200ED576" w14:textId="24A2B037">
            <w:pPr>
              <w:rPr>
                <w:b/>
                <w:bCs/>
                <w:i/>
                <w:iCs/>
              </w:rPr>
            </w:pPr>
          </w:p>
        </w:tc>
      </w:tr>
    </w:tbl>
    <w:p w:rsidR="003B4557" w:rsidP="67921F4A" w:rsidRDefault="003B4557" w14:paraId="1A29D056" w14:textId="77777777">
      <w:pPr>
        <w:rPr>
          <w:b/>
          <w:bCs/>
          <w:i/>
          <w:iCs/>
        </w:rPr>
      </w:pPr>
    </w:p>
    <w:tbl>
      <w:tblPr>
        <w:tblStyle w:val="TableGrid"/>
        <w:tblW w:w="0" w:type="auto"/>
        <w:tblLook w:val="04A0" w:firstRow="1" w:lastRow="0" w:firstColumn="1" w:lastColumn="0" w:noHBand="0" w:noVBand="1"/>
      </w:tblPr>
      <w:tblGrid>
        <w:gridCol w:w="10456"/>
      </w:tblGrid>
      <w:tr w:rsidR="00281FE5" w:rsidTr="00395493" w14:paraId="2D9EBCE5" w14:textId="77777777">
        <w:tc>
          <w:tcPr>
            <w:tcW w:w="10456" w:type="dxa"/>
            <w:tcBorders>
              <w:top w:val="single" w:color="auto" w:sz="4" w:space="0"/>
              <w:left w:val="single" w:color="auto" w:sz="4" w:space="0"/>
              <w:bottom w:val="single" w:color="auto" w:sz="4" w:space="0"/>
              <w:right w:val="single" w:color="auto" w:sz="4" w:space="0"/>
            </w:tcBorders>
          </w:tcPr>
          <w:p w:rsidR="00281FE5" w:rsidP="00A7244C" w:rsidRDefault="2ED3BE1D" w14:paraId="5B9841BA" w14:textId="77777777">
            <w:pPr>
              <w:rPr>
                <w:b/>
                <w:bCs/>
              </w:rPr>
            </w:pPr>
            <w:r w:rsidRPr="14AF2B1F">
              <w:rPr>
                <w:b/>
                <w:bCs/>
              </w:rPr>
              <w:t>Recommended Reading</w:t>
            </w:r>
          </w:p>
          <w:p w:rsidR="00395493" w:rsidP="00395493" w:rsidRDefault="00395493" w14:paraId="21281AAC" w14:textId="77777777">
            <w:r>
              <w:t>All recommended reading for this module is accessible via the reading list on the C8201 MyPlace page. The reading list includes a curated selection of journal articles, book chapters, and other academic sources relevant to the key topics covered in the course. These materials are intended to support your understanding of both theoretical models and empirical findings in cognition and neuropsychology.</w:t>
            </w:r>
          </w:p>
          <w:p w:rsidR="00395493" w:rsidP="00395493" w:rsidRDefault="00395493" w14:paraId="1A93F4F4" w14:textId="77777777"/>
          <w:p w:rsidRPr="00395493" w:rsidR="00395493" w:rsidP="00395493" w:rsidRDefault="00395493" w14:paraId="2390D721" w14:textId="3928FE85">
            <w:r>
              <w:t>There is no requirement to purchase a core textbook for this module, as all essential readings are provided or available via the University Library.</w:t>
            </w:r>
          </w:p>
          <w:p w:rsidRPr="008C7A24" w:rsidR="00767978" w:rsidP="14AF2B1F" w:rsidRDefault="00767978" w14:paraId="5F4D2559" w14:textId="64E72323">
            <w:pPr>
              <w:rPr>
                <w:i/>
                <w:iCs/>
              </w:rPr>
            </w:pPr>
          </w:p>
        </w:tc>
      </w:tr>
    </w:tbl>
    <w:p w:rsidR="00281FE5" w:rsidP="00395493" w:rsidRDefault="00281FE5" w14:paraId="331E3EB1" w14:textId="74B911E6">
      <w:pPr>
        <w:rPr>
          <w:b/>
          <w:bCs/>
          <w:i/>
          <w:iCs/>
        </w:rPr>
      </w:pPr>
    </w:p>
    <w:p w:rsidRPr="004F55C1" w:rsidR="00281FE5" w:rsidP="14AF2B1F" w:rsidRDefault="00281FE5" w14:paraId="095E422B" w14:textId="77777777">
      <w:pPr>
        <w:rPr>
          <w:b/>
          <w:bCs/>
          <w:i/>
          <w:iCs/>
        </w:rPr>
      </w:pPr>
    </w:p>
    <w:p w:rsidR="008B1E7A" w:rsidRDefault="008B1E7A" w14:paraId="1A3C6040" w14:textId="77777777">
      <w:pPr>
        <w:rPr>
          <w:b/>
          <w:bCs/>
          <w:i/>
          <w:iCs/>
        </w:rPr>
      </w:pPr>
      <w:r>
        <w:rPr>
          <w:b/>
          <w:bCs/>
          <w:i/>
          <w:iCs/>
        </w:rPr>
        <w:br w:type="page"/>
      </w:r>
    </w:p>
    <w:p w:rsidR="663FD342" w:rsidP="5DA6C777" w:rsidRDefault="6F945E28" w14:paraId="4BDBA972" w14:textId="73F1B1BC">
      <w:pPr>
        <w:rPr>
          <w:b/>
          <w:bCs/>
          <w:i/>
          <w:iCs/>
        </w:rPr>
      </w:pPr>
      <w:r w:rsidRPr="5DA6C777">
        <w:rPr>
          <w:b/>
          <w:bCs/>
          <w:i/>
          <w:iCs/>
        </w:rPr>
        <w:lastRenderedPageBreak/>
        <w:t>UN S</w:t>
      </w:r>
      <w:r w:rsidRPr="5DA6C777" w:rsidR="0079B6E5">
        <w:rPr>
          <w:b/>
          <w:bCs/>
          <w:i/>
          <w:iCs/>
        </w:rPr>
        <w:t>u</w:t>
      </w:r>
      <w:r w:rsidRPr="5DA6C777">
        <w:rPr>
          <w:b/>
          <w:bCs/>
          <w:i/>
          <w:iCs/>
        </w:rPr>
        <w:t>stainable Development Goals that are</w:t>
      </w:r>
      <w:r w:rsidRPr="5DA6C777" w:rsidR="6D68D766">
        <w:rPr>
          <w:b/>
          <w:bCs/>
          <w:i/>
          <w:iCs/>
        </w:rPr>
        <w:t xml:space="preserve"> </w:t>
      </w:r>
      <w:r w:rsidRPr="5DA6C777" w:rsidR="789DF045">
        <w:rPr>
          <w:b/>
          <w:bCs/>
          <w:i/>
          <w:iCs/>
        </w:rPr>
        <w:t>covered in the module</w:t>
      </w:r>
      <w:r w:rsidRPr="5DA6C777" w:rsidR="382C9C03">
        <w:rPr>
          <w:b/>
          <w:bCs/>
          <w:i/>
          <w:iCs/>
        </w:rPr>
        <w:t>.</w:t>
      </w:r>
    </w:p>
    <w:p w:rsidR="14AF2B1F" w:rsidRDefault="5FF5AC65" w14:paraId="2DEA0E49" w14:textId="268E224C">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rsidTr="726A6332" w14:paraId="54B59151" w14:textId="77777777">
        <w:trPr>
          <w:trHeight w:val="300"/>
        </w:trPr>
        <w:tc>
          <w:tcPr>
            <w:tcW w:w="1140" w:type="dxa"/>
          </w:tcPr>
          <w:p w:rsidR="14AF2B1F" w:rsidP="14AF2B1F" w:rsidRDefault="14AF2B1F" w14:paraId="5772AC75" w14:textId="650F9431">
            <w:pPr>
              <w:rPr>
                <w:b/>
                <w:bCs/>
                <w:lang w:val="en-US"/>
              </w:rPr>
            </w:pPr>
            <w:r w:rsidRPr="726A6332">
              <w:rPr>
                <w:b/>
                <w:lang w:val="en-US"/>
              </w:rPr>
              <w:t>Goal Number</w:t>
            </w:r>
          </w:p>
        </w:tc>
        <w:tc>
          <w:tcPr>
            <w:tcW w:w="3701" w:type="dxa"/>
          </w:tcPr>
          <w:p w:rsidR="14AF2B1F" w:rsidP="14AF2B1F" w:rsidRDefault="14AF2B1F" w14:paraId="379B924D" w14:textId="14E082EE">
            <w:pPr>
              <w:rPr>
                <w:b/>
                <w:lang w:val="en-US"/>
              </w:rPr>
            </w:pPr>
            <w:r w:rsidRPr="726A6332">
              <w:rPr>
                <w:b/>
                <w:lang w:val="en-US"/>
              </w:rPr>
              <w:t>Goal</w:t>
            </w:r>
          </w:p>
        </w:tc>
        <w:tc>
          <w:tcPr>
            <w:tcW w:w="945" w:type="dxa"/>
          </w:tcPr>
          <w:p w:rsidR="1B2630A1" w:rsidP="14AF2B1F" w:rsidRDefault="1B2630A1" w14:paraId="1FD0E6D4" w14:textId="48A5AC6C">
            <w:pPr>
              <w:rPr>
                <w:b/>
                <w:lang w:val="en-US"/>
              </w:rPr>
            </w:pPr>
            <w:r w:rsidRPr="726A6332">
              <w:rPr>
                <w:b/>
                <w:lang w:val="en-US"/>
              </w:rPr>
              <w:t xml:space="preserve">Check </w:t>
            </w:r>
          </w:p>
        </w:tc>
      </w:tr>
      <w:tr w:rsidR="14AF2B1F" w:rsidTr="726A6332" w14:paraId="073BF634" w14:textId="77777777">
        <w:trPr>
          <w:trHeight w:val="300"/>
        </w:trPr>
        <w:tc>
          <w:tcPr>
            <w:tcW w:w="1140" w:type="dxa"/>
          </w:tcPr>
          <w:p w:rsidR="14AF2B1F" w:rsidP="14AF2B1F" w:rsidRDefault="14AF2B1F" w14:paraId="17AF2EB6" w14:textId="5176CA2C">
            <w:pPr>
              <w:rPr>
                <w:lang w:val="en-US"/>
              </w:rPr>
            </w:pPr>
            <w:r w:rsidRPr="14AF2B1F">
              <w:rPr>
                <w:lang w:val="en-US"/>
              </w:rPr>
              <w:t>1</w:t>
            </w:r>
          </w:p>
        </w:tc>
        <w:tc>
          <w:tcPr>
            <w:tcW w:w="3701" w:type="dxa"/>
          </w:tcPr>
          <w:p w:rsidR="14AF2B1F" w:rsidP="14AF2B1F" w:rsidRDefault="14AF2B1F" w14:paraId="57404019" w14:textId="0677555F">
            <w:pPr>
              <w:rPr>
                <w:lang w:val="en-US"/>
              </w:rPr>
            </w:pPr>
            <w:r w:rsidRPr="14AF2B1F">
              <w:rPr>
                <w:lang w:val="en-US"/>
              </w:rPr>
              <w:t>No Poverty</w:t>
            </w:r>
          </w:p>
        </w:tc>
        <w:tc>
          <w:tcPr>
            <w:tcW w:w="945" w:type="dxa"/>
          </w:tcPr>
          <w:p w:rsidR="14AF2B1F" w:rsidP="14AF2B1F" w:rsidRDefault="14AF2B1F" w14:paraId="0B68F0FD" w14:textId="7205BFF5">
            <w:pPr>
              <w:rPr>
                <w:lang w:val="en-US"/>
              </w:rPr>
            </w:pPr>
          </w:p>
        </w:tc>
      </w:tr>
      <w:tr w:rsidR="14AF2B1F" w:rsidTr="726A6332" w14:paraId="5B49B26D" w14:textId="77777777">
        <w:trPr>
          <w:trHeight w:val="300"/>
        </w:trPr>
        <w:tc>
          <w:tcPr>
            <w:tcW w:w="1140" w:type="dxa"/>
          </w:tcPr>
          <w:p w:rsidR="14AF2B1F" w:rsidP="14AF2B1F" w:rsidRDefault="14AF2B1F" w14:paraId="51E22258" w14:textId="3DAEFF39">
            <w:pPr>
              <w:rPr>
                <w:lang w:val="en-US"/>
              </w:rPr>
            </w:pPr>
            <w:r w:rsidRPr="14AF2B1F">
              <w:rPr>
                <w:lang w:val="en-US"/>
              </w:rPr>
              <w:t>2</w:t>
            </w:r>
          </w:p>
        </w:tc>
        <w:tc>
          <w:tcPr>
            <w:tcW w:w="3701" w:type="dxa"/>
          </w:tcPr>
          <w:p w:rsidR="14AF2B1F" w:rsidP="14AF2B1F" w:rsidRDefault="14AF2B1F" w14:paraId="5E541793" w14:textId="5CAAB005">
            <w:pPr>
              <w:rPr>
                <w:lang w:val="en-US"/>
              </w:rPr>
            </w:pPr>
            <w:r w:rsidRPr="14AF2B1F">
              <w:rPr>
                <w:lang w:val="en-US"/>
              </w:rPr>
              <w:t>Zero Hunger</w:t>
            </w:r>
          </w:p>
        </w:tc>
        <w:tc>
          <w:tcPr>
            <w:tcW w:w="945" w:type="dxa"/>
          </w:tcPr>
          <w:p w:rsidR="14AF2B1F" w:rsidP="14AF2B1F" w:rsidRDefault="14AF2B1F" w14:paraId="7BAF82F7" w14:textId="08F08303">
            <w:pPr>
              <w:rPr>
                <w:lang w:val="en-US"/>
              </w:rPr>
            </w:pPr>
          </w:p>
        </w:tc>
      </w:tr>
      <w:tr w:rsidR="14AF2B1F" w:rsidTr="726A6332" w14:paraId="6E362015" w14:textId="77777777">
        <w:trPr>
          <w:trHeight w:val="300"/>
        </w:trPr>
        <w:tc>
          <w:tcPr>
            <w:tcW w:w="1140" w:type="dxa"/>
          </w:tcPr>
          <w:p w:rsidR="14AF2B1F" w:rsidP="14AF2B1F" w:rsidRDefault="14AF2B1F" w14:paraId="2D191AB4" w14:textId="69C1740C">
            <w:pPr>
              <w:rPr>
                <w:lang w:val="en-US"/>
              </w:rPr>
            </w:pPr>
            <w:r w:rsidRPr="14AF2B1F">
              <w:rPr>
                <w:lang w:val="en-US"/>
              </w:rPr>
              <w:t>3</w:t>
            </w:r>
          </w:p>
        </w:tc>
        <w:tc>
          <w:tcPr>
            <w:tcW w:w="3701" w:type="dxa"/>
          </w:tcPr>
          <w:p w:rsidR="14AF2B1F" w:rsidP="14AF2B1F" w:rsidRDefault="14AF2B1F" w14:paraId="5F364E06" w14:textId="02BED2C9">
            <w:pPr>
              <w:rPr>
                <w:lang w:val="en-US"/>
              </w:rPr>
            </w:pPr>
            <w:r w:rsidRPr="14AF2B1F">
              <w:rPr>
                <w:lang w:val="en-US"/>
              </w:rPr>
              <w:t>Good Health and Well-being</w:t>
            </w:r>
          </w:p>
        </w:tc>
        <w:tc>
          <w:tcPr>
            <w:tcW w:w="945" w:type="dxa"/>
          </w:tcPr>
          <w:p w:rsidR="14AF2B1F" w:rsidP="14AF2B1F" w:rsidRDefault="008B1E7A" w14:paraId="097A83EF" w14:textId="1D731D41">
            <w:pPr>
              <w:rPr>
                <w:lang w:val="en-US"/>
              </w:rPr>
            </w:pPr>
            <w:r>
              <w:rPr>
                <w:lang w:val="en-US"/>
              </w:rPr>
              <w:t>X</w:t>
            </w:r>
          </w:p>
        </w:tc>
      </w:tr>
      <w:tr w:rsidR="14AF2B1F" w:rsidTr="726A6332" w14:paraId="4D7A7FAD" w14:textId="77777777">
        <w:trPr>
          <w:trHeight w:val="300"/>
        </w:trPr>
        <w:tc>
          <w:tcPr>
            <w:tcW w:w="1140" w:type="dxa"/>
          </w:tcPr>
          <w:p w:rsidR="14AF2B1F" w:rsidP="14AF2B1F" w:rsidRDefault="14AF2B1F" w14:paraId="0B5285B5" w14:textId="54A91125">
            <w:pPr>
              <w:rPr>
                <w:lang w:val="en-US"/>
              </w:rPr>
            </w:pPr>
            <w:r w:rsidRPr="14AF2B1F">
              <w:rPr>
                <w:lang w:val="en-US"/>
              </w:rPr>
              <w:t>4</w:t>
            </w:r>
          </w:p>
        </w:tc>
        <w:tc>
          <w:tcPr>
            <w:tcW w:w="3701" w:type="dxa"/>
          </w:tcPr>
          <w:p w:rsidR="14AF2B1F" w:rsidP="14AF2B1F" w:rsidRDefault="14AF2B1F" w14:paraId="5E3A1ED4" w14:textId="700D7EDF">
            <w:pPr>
              <w:rPr>
                <w:lang w:val="en-US"/>
              </w:rPr>
            </w:pPr>
            <w:r w:rsidRPr="14AF2B1F">
              <w:rPr>
                <w:lang w:val="en-US"/>
              </w:rPr>
              <w:t>Quality Education</w:t>
            </w:r>
          </w:p>
        </w:tc>
        <w:tc>
          <w:tcPr>
            <w:tcW w:w="945" w:type="dxa"/>
          </w:tcPr>
          <w:p w:rsidR="14AF2B1F" w:rsidP="14AF2B1F" w:rsidRDefault="008B1E7A" w14:paraId="668BD9A7" w14:textId="64360BC5">
            <w:pPr>
              <w:rPr>
                <w:lang w:val="en-US"/>
              </w:rPr>
            </w:pPr>
            <w:r>
              <w:rPr>
                <w:lang w:val="en-US"/>
              </w:rPr>
              <w:t>X</w:t>
            </w:r>
          </w:p>
        </w:tc>
      </w:tr>
      <w:tr w:rsidR="14AF2B1F" w:rsidTr="726A6332" w14:paraId="4C1296A9" w14:textId="77777777">
        <w:trPr>
          <w:trHeight w:val="300"/>
        </w:trPr>
        <w:tc>
          <w:tcPr>
            <w:tcW w:w="1140" w:type="dxa"/>
          </w:tcPr>
          <w:p w:rsidR="14AF2B1F" w:rsidP="14AF2B1F" w:rsidRDefault="14AF2B1F" w14:paraId="6F844AFB" w14:textId="1A6D784E">
            <w:pPr>
              <w:rPr>
                <w:lang w:val="en-US"/>
              </w:rPr>
            </w:pPr>
            <w:r w:rsidRPr="14AF2B1F">
              <w:rPr>
                <w:lang w:val="en-US"/>
              </w:rPr>
              <w:t>5</w:t>
            </w:r>
          </w:p>
        </w:tc>
        <w:tc>
          <w:tcPr>
            <w:tcW w:w="3701" w:type="dxa"/>
          </w:tcPr>
          <w:p w:rsidR="14AF2B1F" w:rsidP="14AF2B1F" w:rsidRDefault="14AF2B1F" w14:paraId="6B781852" w14:textId="75DEC8A2">
            <w:pPr>
              <w:rPr>
                <w:lang w:val="en-US"/>
              </w:rPr>
            </w:pPr>
            <w:r w:rsidRPr="14AF2B1F">
              <w:rPr>
                <w:lang w:val="en-US"/>
              </w:rPr>
              <w:t>Gender Equality</w:t>
            </w:r>
          </w:p>
        </w:tc>
        <w:tc>
          <w:tcPr>
            <w:tcW w:w="945" w:type="dxa"/>
          </w:tcPr>
          <w:p w:rsidR="14AF2B1F" w:rsidP="14AF2B1F" w:rsidRDefault="008B1E7A" w14:paraId="10A37415" w14:textId="086E7783">
            <w:pPr>
              <w:rPr>
                <w:lang w:val="en-US"/>
              </w:rPr>
            </w:pPr>
            <w:r>
              <w:rPr>
                <w:lang w:val="en-US"/>
              </w:rPr>
              <w:t>X</w:t>
            </w:r>
          </w:p>
        </w:tc>
      </w:tr>
      <w:tr w:rsidR="14AF2B1F" w:rsidTr="726A6332" w14:paraId="6BCE93AB" w14:textId="77777777">
        <w:trPr>
          <w:trHeight w:val="300"/>
        </w:trPr>
        <w:tc>
          <w:tcPr>
            <w:tcW w:w="1140" w:type="dxa"/>
          </w:tcPr>
          <w:p w:rsidR="14AF2B1F" w:rsidP="14AF2B1F" w:rsidRDefault="14AF2B1F" w14:paraId="1D190815" w14:textId="457B55C9">
            <w:pPr>
              <w:rPr>
                <w:lang w:val="en-US"/>
              </w:rPr>
            </w:pPr>
            <w:r w:rsidRPr="14AF2B1F">
              <w:rPr>
                <w:lang w:val="en-US"/>
              </w:rPr>
              <w:t>6</w:t>
            </w:r>
          </w:p>
        </w:tc>
        <w:tc>
          <w:tcPr>
            <w:tcW w:w="3701" w:type="dxa"/>
          </w:tcPr>
          <w:p w:rsidR="14AF2B1F" w:rsidP="14AF2B1F" w:rsidRDefault="14AF2B1F" w14:paraId="231940BC" w14:textId="0F96096B">
            <w:pPr>
              <w:rPr>
                <w:lang w:val="en-US"/>
              </w:rPr>
            </w:pPr>
            <w:r w:rsidRPr="14AF2B1F">
              <w:rPr>
                <w:lang w:val="en-US"/>
              </w:rPr>
              <w:t>Clean Water and Sanitation</w:t>
            </w:r>
          </w:p>
        </w:tc>
        <w:tc>
          <w:tcPr>
            <w:tcW w:w="945" w:type="dxa"/>
          </w:tcPr>
          <w:p w:rsidR="14AF2B1F" w:rsidP="14AF2B1F" w:rsidRDefault="14AF2B1F" w14:paraId="23D48AF5" w14:textId="4DA43B1F">
            <w:pPr>
              <w:rPr>
                <w:lang w:val="en-US"/>
              </w:rPr>
            </w:pPr>
          </w:p>
        </w:tc>
      </w:tr>
      <w:tr w:rsidR="14AF2B1F" w:rsidTr="726A6332" w14:paraId="56BA7474" w14:textId="77777777">
        <w:trPr>
          <w:trHeight w:val="300"/>
        </w:trPr>
        <w:tc>
          <w:tcPr>
            <w:tcW w:w="1140" w:type="dxa"/>
          </w:tcPr>
          <w:p w:rsidR="14AF2B1F" w:rsidP="14AF2B1F" w:rsidRDefault="14AF2B1F" w14:paraId="26D78D88" w14:textId="25999FBB">
            <w:pPr>
              <w:rPr>
                <w:lang w:val="en-US"/>
              </w:rPr>
            </w:pPr>
            <w:r w:rsidRPr="14AF2B1F">
              <w:rPr>
                <w:lang w:val="en-US"/>
              </w:rPr>
              <w:t>7</w:t>
            </w:r>
          </w:p>
        </w:tc>
        <w:tc>
          <w:tcPr>
            <w:tcW w:w="3701" w:type="dxa"/>
          </w:tcPr>
          <w:p w:rsidR="14AF2B1F" w:rsidP="14AF2B1F" w:rsidRDefault="14AF2B1F" w14:paraId="42099431" w14:textId="23D8E4B8">
            <w:pPr>
              <w:rPr>
                <w:lang w:val="en-US"/>
              </w:rPr>
            </w:pPr>
            <w:r w:rsidRPr="14AF2B1F">
              <w:rPr>
                <w:lang w:val="en-US"/>
              </w:rPr>
              <w:t>Affordable and Clean Energy</w:t>
            </w:r>
          </w:p>
        </w:tc>
        <w:tc>
          <w:tcPr>
            <w:tcW w:w="945" w:type="dxa"/>
          </w:tcPr>
          <w:p w:rsidR="14AF2B1F" w:rsidP="14AF2B1F" w:rsidRDefault="14AF2B1F" w14:paraId="5A8D44CE" w14:textId="2F76350B">
            <w:pPr>
              <w:rPr>
                <w:lang w:val="en-US"/>
              </w:rPr>
            </w:pPr>
          </w:p>
        </w:tc>
      </w:tr>
      <w:tr w:rsidR="14AF2B1F" w:rsidTr="726A6332" w14:paraId="52C35807" w14:textId="77777777">
        <w:trPr>
          <w:trHeight w:val="300"/>
        </w:trPr>
        <w:tc>
          <w:tcPr>
            <w:tcW w:w="1140" w:type="dxa"/>
          </w:tcPr>
          <w:p w:rsidR="14AF2B1F" w:rsidP="14AF2B1F" w:rsidRDefault="14AF2B1F" w14:paraId="14BBCD32" w14:textId="69A4B621">
            <w:pPr>
              <w:rPr>
                <w:lang w:val="en-US"/>
              </w:rPr>
            </w:pPr>
            <w:r w:rsidRPr="14AF2B1F">
              <w:rPr>
                <w:lang w:val="en-US"/>
              </w:rPr>
              <w:t>8</w:t>
            </w:r>
          </w:p>
        </w:tc>
        <w:tc>
          <w:tcPr>
            <w:tcW w:w="3701" w:type="dxa"/>
          </w:tcPr>
          <w:p w:rsidR="14AF2B1F" w:rsidP="14AF2B1F" w:rsidRDefault="14AF2B1F" w14:paraId="3515B973" w14:textId="50F0642B">
            <w:pPr>
              <w:rPr>
                <w:lang w:val="en-US"/>
              </w:rPr>
            </w:pPr>
            <w:r w:rsidRPr="14AF2B1F">
              <w:rPr>
                <w:lang w:val="en-US"/>
              </w:rPr>
              <w:t>Decent Work and Economic Growth</w:t>
            </w:r>
          </w:p>
        </w:tc>
        <w:tc>
          <w:tcPr>
            <w:tcW w:w="945" w:type="dxa"/>
          </w:tcPr>
          <w:p w:rsidR="14AF2B1F" w:rsidP="14AF2B1F" w:rsidRDefault="14AF2B1F" w14:paraId="73C509BC" w14:textId="4C16007A">
            <w:pPr>
              <w:rPr>
                <w:lang w:val="en-US"/>
              </w:rPr>
            </w:pPr>
          </w:p>
        </w:tc>
      </w:tr>
      <w:tr w:rsidR="14AF2B1F" w:rsidTr="726A6332" w14:paraId="5F614803" w14:textId="77777777">
        <w:trPr>
          <w:trHeight w:val="300"/>
        </w:trPr>
        <w:tc>
          <w:tcPr>
            <w:tcW w:w="1140" w:type="dxa"/>
          </w:tcPr>
          <w:p w:rsidR="14AF2B1F" w:rsidP="14AF2B1F" w:rsidRDefault="14AF2B1F" w14:paraId="1F126AAC" w14:textId="245CD5A5">
            <w:pPr>
              <w:rPr>
                <w:lang w:val="en-US"/>
              </w:rPr>
            </w:pPr>
            <w:r w:rsidRPr="14AF2B1F">
              <w:rPr>
                <w:lang w:val="en-US"/>
              </w:rPr>
              <w:t>9</w:t>
            </w:r>
          </w:p>
        </w:tc>
        <w:tc>
          <w:tcPr>
            <w:tcW w:w="3701" w:type="dxa"/>
          </w:tcPr>
          <w:p w:rsidR="14AF2B1F" w:rsidP="14AF2B1F" w:rsidRDefault="14AF2B1F" w14:paraId="3A784688" w14:textId="0FC467BF">
            <w:pPr>
              <w:rPr>
                <w:lang w:val="en-US"/>
              </w:rPr>
            </w:pPr>
            <w:r w:rsidRPr="14AF2B1F">
              <w:rPr>
                <w:lang w:val="en-US"/>
              </w:rPr>
              <w:t>Industry, Innovation, and Infrastructure</w:t>
            </w:r>
          </w:p>
        </w:tc>
        <w:tc>
          <w:tcPr>
            <w:tcW w:w="945" w:type="dxa"/>
          </w:tcPr>
          <w:p w:rsidR="14AF2B1F" w:rsidP="14AF2B1F" w:rsidRDefault="14AF2B1F" w14:paraId="78089103" w14:textId="648C6752">
            <w:pPr>
              <w:rPr>
                <w:lang w:val="en-US"/>
              </w:rPr>
            </w:pPr>
          </w:p>
        </w:tc>
      </w:tr>
      <w:tr w:rsidR="14AF2B1F" w:rsidTr="726A6332" w14:paraId="743618BC" w14:textId="77777777">
        <w:trPr>
          <w:trHeight w:val="300"/>
        </w:trPr>
        <w:tc>
          <w:tcPr>
            <w:tcW w:w="1140" w:type="dxa"/>
          </w:tcPr>
          <w:p w:rsidR="14AF2B1F" w:rsidP="14AF2B1F" w:rsidRDefault="14AF2B1F" w14:paraId="6B6B7E09" w14:textId="565D9A23">
            <w:pPr>
              <w:rPr>
                <w:lang w:val="en-US"/>
              </w:rPr>
            </w:pPr>
            <w:r w:rsidRPr="14AF2B1F">
              <w:rPr>
                <w:lang w:val="en-US"/>
              </w:rPr>
              <w:t>10</w:t>
            </w:r>
          </w:p>
        </w:tc>
        <w:tc>
          <w:tcPr>
            <w:tcW w:w="3701" w:type="dxa"/>
          </w:tcPr>
          <w:p w:rsidR="14AF2B1F" w:rsidP="14AF2B1F" w:rsidRDefault="14AF2B1F" w14:paraId="5777D031" w14:textId="2CD038C3">
            <w:pPr>
              <w:rPr>
                <w:lang w:val="en-US"/>
              </w:rPr>
            </w:pPr>
            <w:r w:rsidRPr="14AF2B1F">
              <w:rPr>
                <w:lang w:val="en-US"/>
              </w:rPr>
              <w:t>Reduced Inequality</w:t>
            </w:r>
          </w:p>
        </w:tc>
        <w:tc>
          <w:tcPr>
            <w:tcW w:w="945" w:type="dxa"/>
          </w:tcPr>
          <w:p w:rsidR="14AF2B1F" w:rsidP="14AF2B1F" w:rsidRDefault="008B1E7A" w14:paraId="14958597" w14:textId="35EC05E7">
            <w:pPr>
              <w:rPr>
                <w:lang w:val="en-US"/>
              </w:rPr>
            </w:pPr>
            <w:r>
              <w:rPr>
                <w:lang w:val="en-US"/>
              </w:rPr>
              <w:t>X</w:t>
            </w:r>
          </w:p>
        </w:tc>
      </w:tr>
      <w:tr w:rsidR="14AF2B1F" w:rsidTr="726A6332" w14:paraId="61FD5C53" w14:textId="77777777">
        <w:trPr>
          <w:trHeight w:val="300"/>
        </w:trPr>
        <w:tc>
          <w:tcPr>
            <w:tcW w:w="1140" w:type="dxa"/>
          </w:tcPr>
          <w:p w:rsidR="14AF2B1F" w:rsidP="14AF2B1F" w:rsidRDefault="14AF2B1F" w14:paraId="273CBE95" w14:textId="37ED2DD9">
            <w:pPr>
              <w:rPr>
                <w:lang w:val="en-US"/>
              </w:rPr>
            </w:pPr>
            <w:r w:rsidRPr="14AF2B1F">
              <w:rPr>
                <w:lang w:val="en-US"/>
              </w:rPr>
              <w:t>11</w:t>
            </w:r>
          </w:p>
        </w:tc>
        <w:tc>
          <w:tcPr>
            <w:tcW w:w="3701" w:type="dxa"/>
          </w:tcPr>
          <w:p w:rsidR="14AF2B1F" w:rsidP="14AF2B1F" w:rsidRDefault="14AF2B1F" w14:paraId="57ABD2F1" w14:textId="1E8D2365">
            <w:pPr>
              <w:rPr>
                <w:lang w:val="en-US"/>
              </w:rPr>
            </w:pPr>
            <w:r w:rsidRPr="14AF2B1F">
              <w:rPr>
                <w:lang w:val="en-US"/>
              </w:rPr>
              <w:t>Sustainable Cities and Communities</w:t>
            </w:r>
          </w:p>
        </w:tc>
        <w:tc>
          <w:tcPr>
            <w:tcW w:w="945" w:type="dxa"/>
          </w:tcPr>
          <w:p w:rsidR="14AF2B1F" w:rsidP="14AF2B1F" w:rsidRDefault="14AF2B1F" w14:paraId="58BC8AD8" w14:textId="56366552">
            <w:pPr>
              <w:rPr>
                <w:lang w:val="en-US"/>
              </w:rPr>
            </w:pPr>
          </w:p>
        </w:tc>
      </w:tr>
      <w:tr w:rsidR="14AF2B1F" w:rsidTr="726A6332" w14:paraId="00E11856" w14:textId="77777777">
        <w:trPr>
          <w:trHeight w:val="300"/>
        </w:trPr>
        <w:tc>
          <w:tcPr>
            <w:tcW w:w="1140" w:type="dxa"/>
          </w:tcPr>
          <w:p w:rsidR="14AF2B1F" w:rsidP="14AF2B1F" w:rsidRDefault="14AF2B1F" w14:paraId="38E453CE" w14:textId="22D366F3">
            <w:pPr>
              <w:rPr>
                <w:lang w:val="en-US"/>
              </w:rPr>
            </w:pPr>
            <w:r w:rsidRPr="14AF2B1F">
              <w:rPr>
                <w:lang w:val="en-US"/>
              </w:rPr>
              <w:t>12</w:t>
            </w:r>
          </w:p>
        </w:tc>
        <w:tc>
          <w:tcPr>
            <w:tcW w:w="3701" w:type="dxa"/>
          </w:tcPr>
          <w:p w:rsidR="14AF2B1F" w:rsidP="14AF2B1F" w:rsidRDefault="14AF2B1F" w14:paraId="17ABFB54" w14:textId="54D247A0">
            <w:pPr>
              <w:rPr>
                <w:lang w:val="en-US"/>
              </w:rPr>
            </w:pPr>
            <w:r w:rsidRPr="14AF2B1F">
              <w:rPr>
                <w:lang w:val="en-US"/>
              </w:rPr>
              <w:t>Responsible Consumption and Production</w:t>
            </w:r>
          </w:p>
        </w:tc>
        <w:tc>
          <w:tcPr>
            <w:tcW w:w="945" w:type="dxa"/>
          </w:tcPr>
          <w:p w:rsidR="14AF2B1F" w:rsidP="14AF2B1F" w:rsidRDefault="14AF2B1F" w14:paraId="68209855" w14:textId="7FD9E376">
            <w:pPr>
              <w:rPr>
                <w:lang w:val="en-US"/>
              </w:rPr>
            </w:pPr>
          </w:p>
        </w:tc>
      </w:tr>
      <w:tr w:rsidR="14AF2B1F" w:rsidTr="726A6332" w14:paraId="6A6AB2CB" w14:textId="77777777">
        <w:trPr>
          <w:trHeight w:val="300"/>
        </w:trPr>
        <w:tc>
          <w:tcPr>
            <w:tcW w:w="1140" w:type="dxa"/>
          </w:tcPr>
          <w:p w:rsidR="14AF2B1F" w:rsidP="14AF2B1F" w:rsidRDefault="14AF2B1F" w14:paraId="1F69F830" w14:textId="03988710">
            <w:pPr>
              <w:rPr>
                <w:lang w:val="en-US"/>
              </w:rPr>
            </w:pPr>
            <w:r w:rsidRPr="14AF2B1F">
              <w:rPr>
                <w:lang w:val="en-US"/>
              </w:rPr>
              <w:t>13</w:t>
            </w:r>
          </w:p>
        </w:tc>
        <w:tc>
          <w:tcPr>
            <w:tcW w:w="3701" w:type="dxa"/>
          </w:tcPr>
          <w:p w:rsidR="14AF2B1F" w:rsidP="14AF2B1F" w:rsidRDefault="14AF2B1F" w14:paraId="18F6FD6C" w14:textId="1B92C295">
            <w:pPr>
              <w:rPr>
                <w:lang w:val="en-US"/>
              </w:rPr>
            </w:pPr>
            <w:r w:rsidRPr="14AF2B1F">
              <w:rPr>
                <w:lang w:val="en-US"/>
              </w:rPr>
              <w:t>Climate Action</w:t>
            </w:r>
          </w:p>
        </w:tc>
        <w:tc>
          <w:tcPr>
            <w:tcW w:w="945" w:type="dxa"/>
          </w:tcPr>
          <w:p w:rsidR="14AF2B1F" w:rsidP="14AF2B1F" w:rsidRDefault="14AF2B1F" w14:paraId="794B2477" w14:textId="64F81C8D">
            <w:pPr>
              <w:rPr>
                <w:lang w:val="en-US"/>
              </w:rPr>
            </w:pPr>
          </w:p>
        </w:tc>
      </w:tr>
      <w:tr w:rsidR="14AF2B1F" w:rsidTr="726A6332" w14:paraId="4609E1C8" w14:textId="77777777">
        <w:trPr>
          <w:trHeight w:val="300"/>
        </w:trPr>
        <w:tc>
          <w:tcPr>
            <w:tcW w:w="1140" w:type="dxa"/>
          </w:tcPr>
          <w:p w:rsidR="14AF2B1F" w:rsidP="14AF2B1F" w:rsidRDefault="14AF2B1F" w14:paraId="3B261B88" w14:textId="437B1E10">
            <w:pPr>
              <w:rPr>
                <w:lang w:val="en-US"/>
              </w:rPr>
            </w:pPr>
            <w:r w:rsidRPr="14AF2B1F">
              <w:rPr>
                <w:lang w:val="en-US"/>
              </w:rPr>
              <w:t>14</w:t>
            </w:r>
          </w:p>
        </w:tc>
        <w:tc>
          <w:tcPr>
            <w:tcW w:w="3701" w:type="dxa"/>
          </w:tcPr>
          <w:p w:rsidR="14AF2B1F" w:rsidP="14AF2B1F" w:rsidRDefault="14AF2B1F" w14:paraId="31D3216F" w14:textId="27373492">
            <w:pPr>
              <w:rPr>
                <w:lang w:val="en-US"/>
              </w:rPr>
            </w:pPr>
            <w:r w:rsidRPr="14AF2B1F">
              <w:rPr>
                <w:lang w:val="en-US"/>
              </w:rPr>
              <w:t>Life Below Water</w:t>
            </w:r>
          </w:p>
        </w:tc>
        <w:tc>
          <w:tcPr>
            <w:tcW w:w="945" w:type="dxa"/>
          </w:tcPr>
          <w:p w:rsidR="14AF2B1F" w:rsidP="14AF2B1F" w:rsidRDefault="14AF2B1F" w14:paraId="05193773" w14:textId="5233E0EC">
            <w:pPr>
              <w:rPr>
                <w:lang w:val="en-US"/>
              </w:rPr>
            </w:pPr>
          </w:p>
        </w:tc>
      </w:tr>
      <w:tr w:rsidR="14AF2B1F" w:rsidTr="726A6332" w14:paraId="01C4C8C3" w14:textId="77777777">
        <w:trPr>
          <w:trHeight w:val="300"/>
        </w:trPr>
        <w:tc>
          <w:tcPr>
            <w:tcW w:w="1140" w:type="dxa"/>
          </w:tcPr>
          <w:p w:rsidR="14AF2B1F" w:rsidP="14AF2B1F" w:rsidRDefault="14AF2B1F" w14:paraId="3CF132FA" w14:textId="23B77032">
            <w:pPr>
              <w:rPr>
                <w:lang w:val="en-US"/>
              </w:rPr>
            </w:pPr>
            <w:r w:rsidRPr="14AF2B1F">
              <w:rPr>
                <w:lang w:val="en-US"/>
              </w:rPr>
              <w:t>15</w:t>
            </w:r>
          </w:p>
        </w:tc>
        <w:tc>
          <w:tcPr>
            <w:tcW w:w="3701" w:type="dxa"/>
          </w:tcPr>
          <w:p w:rsidR="14AF2B1F" w:rsidP="14AF2B1F" w:rsidRDefault="14AF2B1F" w14:paraId="50E48DFB" w14:textId="1A2B4F25">
            <w:pPr>
              <w:rPr>
                <w:lang w:val="en-US"/>
              </w:rPr>
            </w:pPr>
            <w:r w:rsidRPr="14AF2B1F">
              <w:rPr>
                <w:lang w:val="en-US"/>
              </w:rPr>
              <w:t>Life on Land</w:t>
            </w:r>
          </w:p>
        </w:tc>
        <w:tc>
          <w:tcPr>
            <w:tcW w:w="945" w:type="dxa"/>
          </w:tcPr>
          <w:p w:rsidR="14AF2B1F" w:rsidP="14AF2B1F" w:rsidRDefault="14AF2B1F" w14:paraId="61650141" w14:textId="35240A8F">
            <w:pPr>
              <w:rPr>
                <w:lang w:val="en-US"/>
              </w:rPr>
            </w:pPr>
          </w:p>
        </w:tc>
      </w:tr>
      <w:tr w:rsidR="14AF2B1F" w:rsidTr="726A6332" w14:paraId="75CEF26B" w14:textId="77777777">
        <w:trPr>
          <w:trHeight w:val="300"/>
        </w:trPr>
        <w:tc>
          <w:tcPr>
            <w:tcW w:w="1140" w:type="dxa"/>
          </w:tcPr>
          <w:p w:rsidR="14AF2B1F" w:rsidP="14AF2B1F" w:rsidRDefault="14AF2B1F" w14:paraId="7C6C0A56" w14:textId="0F08617A">
            <w:pPr>
              <w:rPr>
                <w:lang w:val="en-US"/>
              </w:rPr>
            </w:pPr>
            <w:r w:rsidRPr="14AF2B1F">
              <w:rPr>
                <w:lang w:val="en-US"/>
              </w:rPr>
              <w:t>16</w:t>
            </w:r>
          </w:p>
        </w:tc>
        <w:tc>
          <w:tcPr>
            <w:tcW w:w="3701" w:type="dxa"/>
          </w:tcPr>
          <w:p w:rsidR="14AF2B1F" w:rsidP="14AF2B1F" w:rsidRDefault="14AF2B1F" w14:paraId="6832E95B" w14:textId="034FFE58">
            <w:pPr>
              <w:rPr>
                <w:lang w:val="en-US"/>
              </w:rPr>
            </w:pPr>
            <w:r w:rsidRPr="14AF2B1F">
              <w:rPr>
                <w:lang w:val="en-US"/>
              </w:rPr>
              <w:t>Peace and Justice Strong Institutions</w:t>
            </w:r>
          </w:p>
        </w:tc>
        <w:tc>
          <w:tcPr>
            <w:tcW w:w="945" w:type="dxa"/>
          </w:tcPr>
          <w:p w:rsidR="14AF2B1F" w:rsidP="14AF2B1F" w:rsidRDefault="14AF2B1F" w14:paraId="23EF3D1A" w14:textId="44FE51FA">
            <w:pPr>
              <w:rPr>
                <w:lang w:val="en-US"/>
              </w:rPr>
            </w:pPr>
          </w:p>
        </w:tc>
      </w:tr>
      <w:tr w:rsidR="14AF2B1F" w:rsidTr="726A6332" w14:paraId="1D517807" w14:textId="77777777">
        <w:trPr>
          <w:trHeight w:val="300"/>
        </w:trPr>
        <w:tc>
          <w:tcPr>
            <w:tcW w:w="1140" w:type="dxa"/>
          </w:tcPr>
          <w:p w:rsidR="14AF2B1F" w:rsidP="14AF2B1F" w:rsidRDefault="14AF2B1F" w14:paraId="0C43F40C" w14:textId="23FF69AD">
            <w:pPr>
              <w:rPr>
                <w:lang w:val="en-US"/>
              </w:rPr>
            </w:pPr>
            <w:r w:rsidRPr="14AF2B1F">
              <w:rPr>
                <w:lang w:val="en-US"/>
              </w:rPr>
              <w:t>17</w:t>
            </w:r>
          </w:p>
        </w:tc>
        <w:tc>
          <w:tcPr>
            <w:tcW w:w="3701" w:type="dxa"/>
          </w:tcPr>
          <w:p w:rsidR="14AF2B1F" w:rsidP="14AF2B1F" w:rsidRDefault="14AF2B1F" w14:paraId="2FB4968E" w14:textId="12756F9B">
            <w:pPr>
              <w:rPr>
                <w:lang w:val="en-US"/>
              </w:rPr>
            </w:pPr>
            <w:r w:rsidRPr="14AF2B1F">
              <w:rPr>
                <w:lang w:val="en-US"/>
              </w:rPr>
              <w:t>Partnerships to achieve the Goal</w:t>
            </w:r>
          </w:p>
        </w:tc>
        <w:tc>
          <w:tcPr>
            <w:tcW w:w="945" w:type="dxa"/>
          </w:tcPr>
          <w:p w:rsidR="14AF2B1F" w:rsidP="14AF2B1F" w:rsidRDefault="14AF2B1F" w14:paraId="71C55971" w14:textId="42E0F743">
            <w:pPr>
              <w:rPr>
                <w:lang w:val="en-US"/>
              </w:rPr>
            </w:pPr>
          </w:p>
        </w:tc>
      </w:tr>
    </w:tbl>
    <w:p w:rsidR="14AF2B1F" w:rsidRDefault="14AF2B1F" w14:paraId="5F0C62A0" w14:textId="45CE93DE"/>
    <w:p w:rsidR="14AF2B1F" w:rsidP="14AF2B1F" w:rsidRDefault="14AF2B1F" w14:paraId="7132A0B7" w14:textId="07016511">
      <w:pPr>
        <w:rPr>
          <w:b/>
          <w:bCs/>
          <w:i/>
          <w:iCs/>
        </w:rPr>
      </w:pPr>
    </w:p>
    <w:sectPr w:rsidR="14AF2B1F" w:rsidSect="004F55C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B3F" w:rsidP="00C21FAF" w:rsidRDefault="006F2B3F" w14:paraId="37137F1C" w14:textId="77777777">
      <w:pPr>
        <w:spacing w:after="0" w:line="240" w:lineRule="auto"/>
      </w:pPr>
      <w:r>
        <w:separator/>
      </w:r>
    </w:p>
  </w:endnote>
  <w:endnote w:type="continuationSeparator" w:id="0">
    <w:p w:rsidR="006F2B3F" w:rsidP="00C21FAF" w:rsidRDefault="006F2B3F" w14:paraId="593878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B3F" w:rsidP="00C21FAF" w:rsidRDefault="006F2B3F" w14:paraId="3B808757" w14:textId="77777777">
      <w:pPr>
        <w:spacing w:after="0" w:line="240" w:lineRule="auto"/>
      </w:pPr>
      <w:r>
        <w:separator/>
      </w:r>
    </w:p>
  </w:footnote>
  <w:footnote w:type="continuationSeparator" w:id="0">
    <w:p w:rsidR="006F2B3F" w:rsidP="00C21FAF" w:rsidRDefault="006F2B3F" w14:paraId="1CE0FEB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199"/>
    <w:multiLevelType w:val="hybridMultilevel"/>
    <w:tmpl w:val="B26661FC"/>
    <w:lvl w:ilvl="0" w:tplc="65AA80B6">
      <w:start w:val="1"/>
      <w:numFmt w:val="decimal"/>
      <w:lvlText w:val="%1."/>
      <w:lvlJc w:val="left"/>
      <w:pPr>
        <w:ind w:left="360" w:hanging="360"/>
      </w:pPr>
      <w:rPr>
        <w:rFonts w:hint="default"/>
        <w:b w:val="0"/>
        <w:bCs w:val="0"/>
        <w:i w:val="0"/>
        <w:iCs w:val="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0344DD3"/>
    <w:multiLevelType w:val="hybridMultilevel"/>
    <w:tmpl w:val="C4C0A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B80B28"/>
    <w:multiLevelType w:val="hybridMultilevel"/>
    <w:tmpl w:val="6A7EC5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740023"/>
    <w:multiLevelType w:val="hybridMultilevel"/>
    <w:tmpl w:val="55AABB04"/>
    <w:lvl w:ilvl="0" w:tplc="026078AC">
      <w:start w:val="1"/>
      <w:numFmt w:val="decimal"/>
      <w:lvlText w:val="%1."/>
      <w:lvlJc w:val="left"/>
      <w:pPr>
        <w:ind w:left="360" w:hanging="360"/>
      </w:pPr>
      <w:rPr>
        <w:rFonts w:hint="default"/>
        <w:b w:val="0"/>
        <w:bCs w:val="0"/>
        <w:i w:val="0"/>
        <w:iCs w:val="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60A1117"/>
    <w:multiLevelType w:val="hybridMultilevel"/>
    <w:tmpl w:val="B1B2AC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9E76458"/>
    <w:multiLevelType w:val="hybridMultilevel"/>
    <w:tmpl w:val="89CA7B5E"/>
    <w:lvl w:ilvl="0" w:tplc="D07225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001A99"/>
    <w:multiLevelType w:val="hybridMultilevel"/>
    <w:tmpl w:val="373081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87691765">
    <w:abstractNumId w:val="2"/>
  </w:num>
  <w:num w:numId="2" w16cid:durableId="1460104696">
    <w:abstractNumId w:val="6"/>
  </w:num>
  <w:num w:numId="3" w16cid:durableId="162283623">
    <w:abstractNumId w:val="5"/>
  </w:num>
  <w:num w:numId="4" w16cid:durableId="1302734423">
    <w:abstractNumId w:val="0"/>
  </w:num>
  <w:num w:numId="5" w16cid:durableId="570966290">
    <w:abstractNumId w:val="3"/>
  </w:num>
  <w:num w:numId="6" w16cid:durableId="2089882011">
    <w:abstractNumId w:val="1"/>
  </w:num>
  <w:num w:numId="7" w16cid:durableId="1657224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C1"/>
    <w:rsid w:val="00030290"/>
    <w:rsid w:val="00045FAE"/>
    <w:rsid w:val="00061A67"/>
    <w:rsid w:val="000623E4"/>
    <w:rsid w:val="00070F13"/>
    <w:rsid w:val="0008351F"/>
    <w:rsid w:val="000A27EF"/>
    <w:rsid w:val="000B245A"/>
    <w:rsid w:val="000C0CB0"/>
    <w:rsid w:val="00104004"/>
    <w:rsid w:val="001308EC"/>
    <w:rsid w:val="00135D42"/>
    <w:rsid w:val="00154ED4"/>
    <w:rsid w:val="001954DB"/>
    <w:rsid w:val="001C05FE"/>
    <w:rsid w:val="001C240A"/>
    <w:rsid w:val="001C28D5"/>
    <w:rsid w:val="002169C8"/>
    <w:rsid w:val="00230217"/>
    <w:rsid w:val="00235403"/>
    <w:rsid w:val="00256DF1"/>
    <w:rsid w:val="00274721"/>
    <w:rsid w:val="00281FE5"/>
    <w:rsid w:val="002C5DF8"/>
    <w:rsid w:val="002C6317"/>
    <w:rsid w:val="002F2DEC"/>
    <w:rsid w:val="002F353D"/>
    <w:rsid w:val="00313AC2"/>
    <w:rsid w:val="00355B7D"/>
    <w:rsid w:val="00366E6F"/>
    <w:rsid w:val="00367AB2"/>
    <w:rsid w:val="00384081"/>
    <w:rsid w:val="0038409B"/>
    <w:rsid w:val="00384982"/>
    <w:rsid w:val="00395493"/>
    <w:rsid w:val="00397161"/>
    <w:rsid w:val="003B4557"/>
    <w:rsid w:val="003B4678"/>
    <w:rsid w:val="003E72D2"/>
    <w:rsid w:val="003F0B0F"/>
    <w:rsid w:val="00412A20"/>
    <w:rsid w:val="004433B9"/>
    <w:rsid w:val="00445F22"/>
    <w:rsid w:val="00455BD1"/>
    <w:rsid w:val="004E68BF"/>
    <w:rsid w:val="004F55C1"/>
    <w:rsid w:val="004F73CA"/>
    <w:rsid w:val="00505BF3"/>
    <w:rsid w:val="0051598D"/>
    <w:rsid w:val="005206BC"/>
    <w:rsid w:val="00522F7B"/>
    <w:rsid w:val="00545BF8"/>
    <w:rsid w:val="00546B3B"/>
    <w:rsid w:val="005712B5"/>
    <w:rsid w:val="00593636"/>
    <w:rsid w:val="005A4A76"/>
    <w:rsid w:val="005AAB26"/>
    <w:rsid w:val="005B65BC"/>
    <w:rsid w:val="005C0A25"/>
    <w:rsid w:val="005C127F"/>
    <w:rsid w:val="005E2FF5"/>
    <w:rsid w:val="005F4387"/>
    <w:rsid w:val="005F53DB"/>
    <w:rsid w:val="00606AFA"/>
    <w:rsid w:val="006267C8"/>
    <w:rsid w:val="00656A04"/>
    <w:rsid w:val="006860CE"/>
    <w:rsid w:val="00697787"/>
    <w:rsid w:val="006B4F61"/>
    <w:rsid w:val="006D16BA"/>
    <w:rsid w:val="006D6E5B"/>
    <w:rsid w:val="006E505B"/>
    <w:rsid w:val="006F1214"/>
    <w:rsid w:val="006F2B3F"/>
    <w:rsid w:val="00711CE5"/>
    <w:rsid w:val="00726559"/>
    <w:rsid w:val="00767978"/>
    <w:rsid w:val="0079B6E5"/>
    <w:rsid w:val="007E412B"/>
    <w:rsid w:val="0081115E"/>
    <w:rsid w:val="00815898"/>
    <w:rsid w:val="00816BD2"/>
    <w:rsid w:val="008227E2"/>
    <w:rsid w:val="00847745"/>
    <w:rsid w:val="008527C1"/>
    <w:rsid w:val="0088067A"/>
    <w:rsid w:val="008A7637"/>
    <w:rsid w:val="008B1E7A"/>
    <w:rsid w:val="008C4FD2"/>
    <w:rsid w:val="008C7A24"/>
    <w:rsid w:val="008E4589"/>
    <w:rsid w:val="00940944"/>
    <w:rsid w:val="009462FF"/>
    <w:rsid w:val="0096205D"/>
    <w:rsid w:val="009851ED"/>
    <w:rsid w:val="009A4824"/>
    <w:rsid w:val="009C6064"/>
    <w:rsid w:val="009E1C3F"/>
    <w:rsid w:val="009E782C"/>
    <w:rsid w:val="00A00745"/>
    <w:rsid w:val="00A00DC3"/>
    <w:rsid w:val="00A20F52"/>
    <w:rsid w:val="00A3003E"/>
    <w:rsid w:val="00A40F0D"/>
    <w:rsid w:val="00A53BC9"/>
    <w:rsid w:val="00A542CE"/>
    <w:rsid w:val="00A7133B"/>
    <w:rsid w:val="00A7244C"/>
    <w:rsid w:val="00A82599"/>
    <w:rsid w:val="00A828DD"/>
    <w:rsid w:val="00A8415F"/>
    <w:rsid w:val="00A94C2B"/>
    <w:rsid w:val="00B15E54"/>
    <w:rsid w:val="00B649A6"/>
    <w:rsid w:val="00BD4A19"/>
    <w:rsid w:val="00BE3E01"/>
    <w:rsid w:val="00BF3470"/>
    <w:rsid w:val="00BF48B4"/>
    <w:rsid w:val="00C00DBB"/>
    <w:rsid w:val="00C02440"/>
    <w:rsid w:val="00C05A1C"/>
    <w:rsid w:val="00C11C90"/>
    <w:rsid w:val="00C21FAF"/>
    <w:rsid w:val="00C2729C"/>
    <w:rsid w:val="00C2739B"/>
    <w:rsid w:val="00C420E1"/>
    <w:rsid w:val="00C5454E"/>
    <w:rsid w:val="00C94485"/>
    <w:rsid w:val="00C975EE"/>
    <w:rsid w:val="00CB396E"/>
    <w:rsid w:val="00CC38EC"/>
    <w:rsid w:val="00CC5E67"/>
    <w:rsid w:val="00CD08BB"/>
    <w:rsid w:val="00CD6193"/>
    <w:rsid w:val="00D00E73"/>
    <w:rsid w:val="00D16C08"/>
    <w:rsid w:val="00D26D73"/>
    <w:rsid w:val="00D41EDF"/>
    <w:rsid w:val="00D42EE0"/>
    <w:rsid w:val="00D66A15"/>
    <w:rsid w:val="00D67FB4"/>
    <w:rsid w:val="00D7373C"/>
    <w:rsid w:val="00D7A61C"/>
    <w:rsid w:val="00D947AD"/>
    <w:rsid w:val="00DB2BDB"/>
    <w:rsid w:val="00DD0321"/>
    <w:rsid w:val="00DD717E"/>
    <w:rsid w:val="00E043D5"/>
    <w:rsid w:val="00E2278F"/>
    <w:rsid w:val="00E34CEE"/>
    <w:rsid w:val="00EB1EEA"/>
    <w:rsid w:val="00EB22B8"/>
    <w:rsid w:val="00ED17B9"/>
    <w:rsid w:val="00EE13F5"/>
    <w:rsid w:val="00EE1A97"/>
    <w:rsid w:val="00EE3BC5"/>
    <w:rsid w:val="00F1A348"/>
    <w:rsid w:val="00F334C8"/>
    <w:rsid w:val="00F456EC"/>
    <w:rsid w:val="00F6380F"/>
    <w:rsid w:val="00F84F8A"/>
    <w:rsid w:val="00F87BEC"/>
    <w:rsid w:val="00FC2763"/>
    <w:rsid w:val="00FD2E50"/>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50FE0"/>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AC2400"/>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55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F55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F55C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F55C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F55C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F55C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F55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styleId="QuoteChar" w:customStyle="1">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styleId="CommentTextChar" w:customStyle="1">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styleId="CommentSubjectChar" w:customStyle="1">
    <w:name w:val="Comment Subject Char"/>
    <w:basedOn w:val="CommentTextChar"/>
    <w:link w:val="CommentSubject"/>
    <w:uiPriority w:val="99"/>
    <w:semiHidden/>
    <w:rsid w:val="00D00E73"/>
    <w:rPr>
      <w:b/>
      <w:bCs/>
      <w:sz w:val="20"/>
      <w:szCs w:val="20"/>
    </w:rPr>
  </w:style>
  <w:style w:type="character" w:styleId="Mention1" w:customStyle="1">
    <w:name w:val="Mention1"/>
    <w:basedOn w:val="DefaultParagraphFont"/>
    <w:uiPriority w:val="99"/>
    <w:unhideWhenUsed/>
    <w:rsid w:val="005E2FF5"/>
    <w:rPr>
      <w:color w:val="2B579A"/>
      <w:shd w:val="clear" w:color="auto" w:fill="E1DFDD"/>
    </w:rPr>
  </w:style>
  <w:style w:type="paragraph" w:styleId="FootnoteText">
    <w:name w:val="footnote text"/>
    <w:basedOn w:val="Normal"/>
    <w:link w:val="FootnoteTextChar"/>
    <w:unhideWhenUsed/>
    <w:rsid w:val="005C0A25"/>
    <w:pPr>
      <w:spacing w:after="0" w:line="240" w:lineRule="auto"/>
    </w:pPr>
    <w:rPr>
      <w:rFonts w:ascii="Times New Roman" w:hAnsi="Times New Roman" w:eastAsia="Times New Roman" w:cs="Times New Roman"/>
      <w:kern w:val="0"/>
      <w:sz w:val="20"/>
      <w:szCs w:val="20"/>
      <w14:ligatures w14:val="none"/>
    </w:rPr>
  </w:style>
  <w:style w:type="character" w:styleId="FootnoteTextChar" w:customStyle="1">
    <w:name w:val="Footnote Text Char"/>
    <w:basedOn w:val="DefaultParagraphFont"/>
    <w:link w:val="FootnoteText"/>
    <w:rsid w:val="005C0A25"/>
    <w:rPr>
      <w:rFonts w:ascii="Times New Roman" w:hAnsi="Times New Roman" w:eastAsia="Times New Roman" w:cs="Times New Roman"/>
      <w:kern w:val="0"/>
      <w:sz w:val="20"/>
      <w:szCs w:val="20"/>
      <w14:ligatures w14:val="none"/>
    </w:rPr>
  </w:style>
  <w:style w:type="paragraph" w:styleId="Header">
    <w:name w:val="header"/>
    <w:basedOn w:val="Normal"/>
    <w:link w:val="HeaderChar"/>
    <w:uiPriority w:val="99"/>
    <w:unhideWhenUsed/>
    <w:rsid w:val="00C21F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1FAF"/>
  </w:style>
  <w:style w:type="paragraph" w:styleId="Footer">
    <w:name w:val="footer"/>
    <w:basedOn w:val="Normal"/>
    <w:link w:val="FooterChar"/>
    <w:uiPriority w:val="99"/>
    <w:unhideWhenUsed/>
    <w:rsid w:val="00C21F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9"/>
    <w:rsid w:val="000557B5"/>
    <w:rsid w:val="000E3576"/>
    <w:rsid w:val="00125927"/>
    <w:rsid w:val="00313AC2"/>
    <w:rsid w:val="003F0B0F"/>
    <w:rsid w:val="0044345C"/>
    <w:rsid w:val="00455BD1"/>
    <w:rsid w:val="005109CF"/>
    <w:rsid w:val="006A7D18"/>
    <w:rsid w:val="00844BD2"/>
    <w:rsid w:val="00847745"/>
    <w:rsid w:val="008A7637"/>
    <w:rsid w:val="008E04E1"/>
    <w:rsid w:val="00A82599"/>
    <w:rsid w:val="00AD2113"/>
    <w:rsid w:val="00CD6193"/>
    <w:rsid w:val="00D34A85"/>
    <w:rsid w:val="00D41EDF"/>
    <w:rsid w:val="00F475E1"/>
    <w:rsid w:val="00FA4A38"/>
    <w:rsid w:val="00FC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245e00d6bd7a4d30dc80c09a1a015bd7">
  <xsd:schema xmlns:xsd="http://www.w3.org/2001/XMLSchema" xmlns:xs="http://www.w3.org/2001/XMLSchema" xmlns:p="http://schemas.microsoft.com/office/2006/metadata/properties" xmlns:ns2="c755df31-e82a-425c-83b7-1e8f37d3db41" targetNamespace="http://schemas.microsoft.com/office/2006/metadata/properties" ma:root="true" ma:fieldsID="2c4a668b518482ebaff6bd593ce514e3"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ED617-7741-46B6-824B-3845A28C182D}"/>
</file>

<file path=customXml/itemProps2.xml><?xml version="1.0" encoding="utf-8"?>
<ds:datastoreItem xmlns:ds="http://schemas.openxmlformats.org/officeDocument/2006/customXml" ds:itemID="{97AC287E-121C-4631-A78E-B506586E04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4661F2-3BFD-4922-8BB3-D690B1806D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David Hamilton</cp:lastModifiedBy>
  <cp:revision>7</cp:revision>
  <dcterms:created xsi:type="dcterms:W3CDTF">2025-07-22T08:37:00Z</dcterms:created>
  <dcterms:modified xsi:type="dcterms:W3CDTF">2026-02-03T11:44:27Z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