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C373" w14:textId="77777777" w:rsidR="008F186D" w:rsidRDefault="008F186D" w:rsidP="008F186D">
      <w:pPr>
        <w:rPr>
          <w:rFonts w:ascii="Arial" w:hAnsi="Arial" w:cs="Arial"/>
          <w:b/>
        </w:rPr>
      </w:pPr>
      <w:r>
        <w:rPr>
          <w:rFonts w:ascii="Arial" w:hAnsi="Arial" w:cs="Arial"/>
          <w:b/>
        </w:rPr>
        <w:t>Complaints Handling: 2023/24 Quarter 2 Report</w:t>
      </w:r>
    </w:p>
    <w:p w14:paraId="77D7D097" w14:textId="77777777" w:rsidR="008F186D" w:rsidRPr="000904E2" w:rsidRDefault="008F186D" w:rsidP="008F186D">
      <w:pPr>
        <w:rPr>
          <w:rFonts w:ascii="Arial" w:hAnsi="Arial" w:cs="Arial"/>
        </w:rPr>
      </w:pPr>
    </w:p>
    <w:p w14:paraId="2D6A2B71" w14:textId="77777777" w:rsidR="008F186D" w:rsidRDefault="008F186D" w:rsidP="008F186D">
      <w:pPr>
        <w:pStyle w:val="PlainText"/>
        <w:contextualSpacing/>
        <w:jc w:val="both"/>
        <w:rPr>
          <w:rFonts w:ascii="Arial" w:hAnsi="Arial" w:cs="Arial"/>
          <w:szCs w:val="22"/>
        </w:rPr>
      </w:pPr>
      <w:r w:rsidRPr="0094216D">
        <w:rPr>
          <w:rFonts w:ascii="Arial" w:hAnsi="Arial" w:cs="Arial"/>
          <w:b/>
          <w:i/>
          <w:szCs w:val="22"/>
        </w:rPr>
        <w:t xml:space="preserve">It is a </w:t>
      </w:r>
      <w:r>
        <w:rPr>
          <w:rFonts w:ascii="Arial" w:hAnsi="Arial" w:cs="Arial"/>
          <w:b/>
          <w:i/>
          <w:szCs w:val="22"/>
        </w:rPr>
        <w:t xml:space="preserve">regulatory </w:t>
      </w:r>
      <w:r w:rsidRPr="0094216D">
        <w:rPr>
          <w:rFonts w:ascii="Arial" w:hAnsi="Arial" w:cs="Arial"/>
          <w:b/>
          <w:i/>
          <w:szCs w:val="22"/>
        </w:rPr>
        <w:t xml:space="preserve">requirement that the University reports key performance information </w:t>
      </w:r>
      <w:r>
        <w:rPr>
          <w:rFonts w:ascii="Arial" w:hAnsi="Arial" w:cs="Arial"/>
          <w:b/>
          <w:i/>
          <w:szCs w:val="22"/>
        </w:rPr>
        <w:t xml:space="preserve">on complaints </w:t>
      </w:r>
      <w:r w:rsidRPr="0094216D">
        <w:rPr>
          <w:rFonts w:ascii="Arial" w:hAnsi="Arial" w:cs="Arial"/>
          <w:b/>
          <w:i/>
          <w:szCs w:val="22"/>
        </w:rPr>
        <w:t>quarterly to senior officers (Executive Team) and annually to Court</w:t>
      </w:r>
      <w:r>
        <w:rPr>
          <w:rFonts w:ascii="Arial" w:hAnsi="Arial" w:cs="Arial"/>
          <w:szCs w:val="22"/>
        </w:rPr>
        <w:t xml:space="preserve">. </w:t>
      </w:r>
    </w:p>
    <w:p w14:paraId="5D1147D2" w14:textId="77777777" w:rsidR="008F186D" w:rsidRDefault="008F186D" w:rsidP="008F186D">
      <w:pPr>
        <w:pStyle w:val="PlainText"/>
        <w:contextualSpacing/>
        <w:jc w:val="both"/>
        <w:rPr>
          <w:rFonts w:ascii="Arial" w:hAnsi="Arial" w:cs="Arial"/>
          <w:szCs w:val="22"/>
        </w:rPr>
      </w:pPr>
    </w:p>
    <w:p w14:paraId="7AFD1ED9" w14:textId="77777777" w:rsidR="008F186D" w:rsidRPr="009F018A" w:rsidRDefault="008F186D" w:rsidP="008F186D">
      <w:pPr>
        <w:pStyle w:val="PlainText"/>
        <w:numPr>
          <w:ilvl w:val="0"/>
          <w:numId w:val="1"/>
        </w:numPr>
        <w:contextualSpacing/>
        <w:jc w:val="both"/>
        <w:rPr>
          <w:rFonts w:ascii="Arial" w:hAnsi="Arial" w:cs="Arial"/>
          <w:szCs w:val="22"/>
        </w:rPr>
      </w:pPr>
      <w:r w:rsidRPr="009F018A">
        <w:rPr>
          <w:rFonts w:ascii="Arial" w:hAnsi="Arial" w:cs="Arial"/>
          <w:szCs w:val="22"/>
        </w:rPr>
        <w:t>The SPSO published a revised Complaints Handling Procedure (CHP) in 2020 which the University formally implemented on 1 April 2021.</w:t>
      </w:r>
      <w:r>
        <w:rPr>
          <w:rFonts w:ascii="Arial" w:hAnsi="Arial" w:cs="Arial"/>
          <w:szCs w:val="22"/>
        </w:rPr>
        <w:t xml:space="preserve"> </w:t>
      </w:r>
      <w:r w:rsidRPr="009F018A">
        <w:rPr>
          <w:rFonts w:ascii="Arial" w:hAnsi="Arial" w:cs="Arial"/>
          <w:szCs w:val="22"/>
        </w:rPr>
        <w:t>A MyPlace site is available containing the training materials for the compulsory frontline training required, under the CHP, for all staff at induction.</w:t>
      </w:r>
      <w:r>
        <w:rPr>
          <w:rFonts w:ascii="Arial" w:hAnsi="Arial" w:cs="Arial"/>
          <w:szCs w:val="22"/>
        </w:rPr>
        <w:t xml:space="preserve"> </w:t>
      </w:r>
      <w:r w:rsidRPr="009F018A">
        <w:rPr>
          <w:rFonts w:ascii="Arial" w:hAnsi="Arial" w:cs="Arial"/>
          <w:szCs w:val="22"/>
        </w:rPr>
        <w:t>These materials, along with additional guidance and templates, are also available to all staff on MyPlace for refresher training and ongoing reference.</w:t>
      </w:r>
      <w:r>
        <w:rPr>
          <w:rFonts w:ascii="Arial" w:hAnsi="Arial" w:cs="Arial"/>
          <w:szCs w:val="22"/>
        </w:rPr>
        <w:t xml:space="preserve"> </w:t>
      </w:r>
      <w:r w:rsidRPr="009F018A">
        <w:rPr>
          <w:rFonts w:ascii="Arial" w:hAnsi="Arial" w:cs="Arial"/>
          <w:szCs w:val="22"/>
        </w:rPr>
        <w:t>(</w:t>
      </w:r>
      <w:hyperlink r:id="rId5" w:history="1">
        <w:r w:rsidRPr="009F018A">
          <w:rPr>
            <w:rStyle w:val="Hyperlink"/>
            <w:rFonts w:ascii="Arial" w:hAnsi="Arial" w:cs="Arial"/>
            <w:szCs w:val="22"/>
          </w:rPr>
          <w:t>https://classes.myplace.strath.ac.uk/course/view.php?id=26168</w:t>
        </w:r>
      </w:hyperlink>
      <w:r w:rsidRPr="009F018A">
        <w:rPr>
          <w:rFonts w:ascii="Arial" w:hAnsi="Arial" w:cs="Arial"/>
          <w:szCs w:val="22"/>
        </w:rPr>
        <w:t>)</w:t>
      </w:r>
    </w:p>
    <w:p w14:paraId="5B9569AF" w14:textId="77777777" w:rsidR="008F186D" w:rsidRDefault="008F186D" w:rsidP="008F186D">
      <w:pPr>
        <w:pStyle w:val="ListParagraph"/>
        <w:rPr>
          <w:rFonts w:ascii="Arial" w:hAnsi="Arial" w:cs="Arial"/>
        </w:rPr>
      </w:pPr>
    </w:p>
    <w:p w14:paraId="0E044C59" w14:textId="77777777" w:rsidR="008F186D" w:rsidRDefault="008F186D" w:rsidP="008F186D">
      <w:pPr>
        <w:pStyle w:val="PlainText"/>
        <w:numPr>
          <w:ilvl w:val="0"/>
          <w:numId w:val="1"/>
        </w:numPr>
        <w:contextualSpacing/>
        <w:jc w:val="both"/>
        <w:rPr>
          <w:rFonts w:ascii="Arial" w:hAnsi="Arial" w:cs="Arial"/>
          <w:szCs w:val="22"/>
        </w:rPr>
      </w:pPr>
      <w:r w:rsidRPr="009B6A7E">
        <w:rPr>
          <w:rFonts w:ascii="Arial" w:hAnsi="Arial" w:cs="Arial"/>
          <w:szCs w:val="22"/>
        </w:rPr>
        <w:t xml:space="preserve">Annex A provides key performance information on the volume and types of complaints received during the </w:t>
      </w:r>
      <w:r>
        <w:rPr>
          <w:rFonts w:ascii="Arial" w:hAnsi="Arial" w:cs="Arial"/>
          <w:szCs w:val="22"/>
        </w:rPr>
        <w:t>second quarter</w:t>
      </w:r>
      <w:r w:rsidRPr="009B6A7E">
        <w:rPr>
          <w:rFonts w:ascii="Arial" w:hAnsi="Arial" w:cs="Arial"/>
          <w:szCs w:val="22"/>
        </w:rPr>
        <w:t xml:space="preserve"> of 202</w:t>
      </w:r>
      <w:r>
        <w:rPr>
          <w:rFonts w:ascii="Arial" w:hAnsi="Arial" w:cs="Arial"/>
          <w:szCs w:val="22"/>
        </w:rPr>
        <w:t xml:space="preserve">3/24 </w:t>
      </w:r>
      <w:r w:rsidRPr="009B6A7E">
        <w:rPr>
          <w:rFonts w:ascii="Arial" w:hAnsi="Arial" w:cs="Arial"/>
          <w:szCs w:val="22"/>
        </w:rPr>
        <w:t>and on the resolution times achieved.</w:t>
      </w:r>
      <w:r>
        <w:rPr>
          <w:rFonts w:ascii="Arial" w:hAnsi="Arial" w:cs="Arial"/>
          <w:szCs w:val="22"/>
        </w:rPr>
        <w:t xml:space="preserve"> </w:t>
      </w:r>
      <w:r w:rsidRPr="009B6A7E">
        <w:rPr>
          <w:rFonts w:ascii="Arial" w:hAnsi="Arial" w:cs="Arial"/>
          <w:szCs w:val="22"/>
        </w:rPr>
        <w:t xml:space="preserve">Annex B </w:t>
      </w:r>
      <w:r>
        <w:rPr>
          <w:rFonts w:ascii="Arial" w:hAnsi="Arial" w:cs="Arial"/>
          <w:szCs w:val="22"/>
        </w:rPr>
        <w:t>looks at comparable data from the second quarter dating back to 2020/21</w:t>
      </w:r>
      <w:r w:rsidRPr="009B6A7E">
        <w:rPr>
          <w:rFonts w:ascii="Arial" w:hAnsi="Arial" w:cs="Arial"/>
          <w:szCs w:val="22"/>
        </w:rPr>
        <w:t>.</w:t>
      </w:r>
      <w:r>
        <w:rPr>
          <w:rFonts w:ascii="Arial" w:hAnsi="Arial" w:cs="Arial"/>
          <w:szCs w:val="22"/>
        </w:rPr>
        <w:t xml:space="preserve"> Annex C </w:t>
      </w:r>
      <w:r w:rsidRPr="009B6A7E">
        <w:rPr>
          <w:rFonts w:ascii="Arial" w:hAnsi="Arial" w:cs="Arial"/>
          <w:szCs w:val="22"/>
        </w:rPr>
        <w:t xml:space="preserve">provides qualitative information on some of the actions taken </w:t>
      </w:r>
      <w:r>
        <w:rPr>
          <w:rFonts w:ascii="Arial" w:hAnsi="Arial" w:cs="Arial"/>
          <w:szCs w:val="22"/>
        </w:rPr>
        <w:t>and/</w:t>
      </w:r>
      <w:r w:rsidRPr="009B6A7E">
        <w:rPr>
          <w:rFonts w:ascii="Arial" w:hAnsi="Arial" w:cs="Arial"/>
          <w:szCs w:val="22"/>
        </w:rPr>
        <w:t>or recommendations made to deliver service improvement in response to complaints received by the University during the quarter.</w:t>
      </w:r>
    </w:p>
    <w:p w14:paraId="55F1A9C7" w14:textId="77777777" w:rsidR="008F186D" w:rsidRDefault="008F186D" w:rsidP="008F186D">
      <w:pPr>
        <w:pStyle w:val="ListParagraph"/>
        <w:rPr>
          <w:rFonts w:ascii="Arial" w:hAnsi="Arial" w:cs="Arial"/>
        </w:rPr>
      </w:pPr>
    </w:p>
    <w:p w14:paraId="330B2105" w14:textId="77777777" w:rsidR="008F186D" w:rsidRDefault="008F186D" w:rsidP="008F186D">
      <w:pPr>
        <w:pStyle w:val="PlainText"/>
        <w:numPr>
          <w:ilvl w:val="0"/>
          <w:numId w:val="1"/>
        </w:numPr>
        <w:contextualSpacing/>
        <w:jc w:val="both"/>
        <w:rPr>
          <w:rFonts w:ascii="Arial" w:hAnsi="Arial" w:cs="Arial"/>
          <w:szCs w:val="22"/>
        </w:rPr>
      </w:pPr>
      <w:r>
        <w:rPr>
          <w:rFonts w:ascii="Arial" w:hAnsi="Arial" w:cs="Arial"/>
          <w:szCs w:val="22"/>
        </w:rPr>
        <w:t xml:space="preserve">In March 2022, SPSO published a set of Key Performance </w:t>
      </w:r>
      <w:r w:rsidRPr="00C32AE3">
        <w:rPr>
          <w:rFonts w:ascii="Arial" w:hAnsi="Arial" w:cs="Arial"/>
          <w:szCs w:val="22"/>
        </w:rPr>
        <w:t>Indicators</w:t>
      </w:r>
      <w:r>
        <w:rPr>
          <w:rFonts w:ascii="Arial" w:hAnsi="Arial" w:cs="Arial"/>
          <w:szCs w:val="22"/>
        </w:rPr>
        <w:t xml:space="preserve"> (KPIs) which the University has been reporting on since 2022/23. </w:t>
      </w:r>
    </w:p>
    <w:p w14:paraId="4CFE7B9B" w14:textId="77777777" w:rsidR="008F186D" w:rsidRDefault="008F186D" w:rsidP="008F186D">
      <w:pPr>
        <w:pStyle w:val="ListParagraph"/>
        <w:rPr>
          <w:rFonts w:ascii="Arial" w:hAnsi="Arial" w:cs="Arial"/>
        </w:rPr>
      </w:pPr>
    </w:p>
    <w:p w14:paraId="59D8CB63" w14:textId="77777777" w:rsidR="008F186D" w:rsidRPr="00C32AE3" w:rsidRDefault="008F186D" w:rsidP="008F186D">
      <w:pPr>
        <w:pStyle w:val="PlainText"/>
        <w:numPr>
          <w:ilvl w:val="0"/>
          <w:numId w:val="1"/>
        </w:numPr>
        <w:contextualSpacing/>
        <w:jc w:val="both"/>
        <w:rPr>
          <w:rFonts w:ascii="Arial" w:hAnsi="Arial" w:cs="Arial"/>
          <w:szCs w:val="22"/>
        </w:rPr>
      </w:pPr>
      <w:r>
        <w:rPr>
          <w:rFonts w:ascii="Arial" w:hAnsi="Arial" w:cs="Arial"/>
          <w:szCs w:val="22"/>
        </w:rPr>
        <w:t xml:space="preserve">The quarterly reporting at Strathclyde already met most of the requirements except for the need to specify when a complaint was handled directly at investigation (stage 2) and when it was moved to investigation due to the complainant’s dissatisfaction with the frontline response. The new Complaints </w:t>
      </w:r>
      <w:proofErr w:type="spellStart"/>
      <w:r>
        <w:rPr>
          <w:rFonts w:ascii="Arial" w:hAnsi="Arial" w:cs="Arial"/>
          <w:szCs w:val="22"/>
        </w:rPr>
        <w:t>Sharepoint</w:t>
      </w:r>
      <w:proofErr w:type="spellEnd"/>
      <w:r>
        <w:rPr>
          <w:rFonts w:ascii="Arial" w:hAnsi="Arial" w:cs="Arial"/>
          <w:szCs w:val="22"/>
        </w:rPr>
        <w:t xml:space="preserve"> was launched on 1 February 2024 and that allows staff to log complaints directly at Stage 2 as well as making it easier to manage complaints through their cycle.</w:t>
      </w:r>
    </w:p>
    <w:p w14:paraId="6CFF8C40" w14:textId="77777777" w:rsidR="008F186D" w:rsidRDefault="008F186D" w:rsidP="008F186D">
      <w:pPr>
        <w:pStyle w:val="ListParagraph"/>
        <w:rPr>
          <w:rFonts w:ascii="Arial" w:hAnsi="Arial" w:cs="Arial"/>
        </w:rPr>
      </w:pPr>
    </w:p>
    <w:p w14:paraId="22B453AF" w14:textId="77777777" w:rsidR="008F186D" w:rsidRPr="00BD523A" w:rsidRDefault="008F186D" w:rsidP="008F186D">
      <w:pPr>
        <w:pStyle w:val="PlainText"/>
        <w:numPr>
          <w:ilvl w:val="0"/>
          <w:numId w:val="1"/>
        </w:numPr>
        <w:contextualSpacing/>
        <w:jc w:val="both"/>
        <w:rPr>
          <w:rFonts w:ascii="Arial" w:hAnsi="Arial" w:cs="Arial"/>
          <w:szCs w:val="22"/>
        </w:rPr>
      </w:pPr>
      <w:r w:rsidRPr="00BD523A">
        <w:rPr>
          <w:rFonts w:ascii="Arial" w:hAnsi="Arial" w:cs="Arial"/>
          <w:szCs w:val="22"/>
        </w:rPr>
        <w:t>The University recorded</w:t>
      </w:r>
      <w:r>
        <w:rPr>
          <w:rFonts w:ascii="Arial" w:hAnsi="Arial" w:cs="Arial"/>
          <w:szCs w:val="22"/>
        </w:rPr>
        <w:t xml:space="preserve"> 18 frontline</w:t>
      </w:r>
      <w:r w:rsidRPr="00BD523A">
        <w:rPr>
          <w:rFonts w:ascii="Arial" w:hAnsi="Arial" w:cs="Arial"/>
          <w:szCs w:val="22"/>
        </w:rPr>
        <w:t xml:space="preserve"> complaints during the </w:t>
      </w:r>
      <w:r>
        <w:rPr>
          <w:rFonts w:ascii="Arial" w:hAnsi="Arial" w:cs="Arial"/>
          <w:szCs w:val="22"/>
        </w:rPr>
        <w:t>first</w:t>
      </w:r>
      <w:r w:rsidRPr="00BD523A">
        <w:rPr>
          <w:rFonts w:ascii="Arial" w:hAnsi="Arial" w:cs="Arial"/>
          <w:szCs w:val="22"/>
        </w:rPr>
        <w:t xml:space="preserve"> quarter of 202</w:t>
      </w:r>
      <w:r>
        <w:rPr>
          <w:rFonts w:ascii="Arial" w:hAnsi="Arial" w:cs="Arial"/>
          <w:szCs w:val="22"/>
        </w:rPr>
        <w:t xml:space="preserve">3/24, a decrease of 54% compared with the second quarter of 2022/23. The main reason for the significant reduction is because of 18 complaints the University received about conditions of one specific engineering exam in the second quarter of 2022/23. The total complaints for this quarter are back at a level that we would normally expect. 16 of this quarters complaints were from students and two from members of the public. </w:t>
      </w:r>
      <w:r w:rsidRPr="00BD523A">
        <w:rPr>
          <w:rFonts w:ascii="Arial" w:hAnsi="Arial" w:cs="Arial"/>
          <w:szCs w:val="22"/>
        </w:rPr>
        <w:t xml:space="preserve">Complaints were received across </w:t>
      </w:r>
      <w:r>
        <w:rPr>
          <w:rFonts w:ascii="Arial" w:hAnsi="Arial" w:cs="Arial"/>
          <w:szCs w:val="22"/>
        </w:rPr>
        <w:t>all the</w:t>
      </w:r>
      <w:r w:rsidRPr="00BD523A">
        <w:rPr>
          <w:rFonts w:ascii="Arial" w:hAnsi="Arial" w:cs="Arial"/>
          <w:szCs w:val="22"/>
        </w:rPr>
        <w:t xml:space="preserve"> faculties and Professional Services </w:t>
      </w:r>
      <w:r>
        <w:rPr>
          <w:rFonts w:ascii="Arial" w:hAnsi="Arial" w:cs="Arial"/>
          <w:szCs w:val="22"/>
        </w:rPr>
        <w:t>(Information Services, Estates and Student Experience) and t</w:t>
      </w:r>
      <w:r w:rsidRPr="00BD523A">
        <w:rPr>
          <w:rFonts w:ascii="Arial" w:hAnsi="Arial" w:cs="Arial"/>
          <w:szCs w:val="22"/>
        </w:rPr>
        <w:t>he most frequent types of complaints recorded were those relating to:</w:t>
      </w:r>
    </w:p>
    <w:p w14:paraId="7AFB31B8" w14:textId="77777777" w:rsidR="008F186D" w:rsidRDefault="008F186D" w:rsidP="008F186D">
      <w:pPr>
        <w:pStyle w:val="ListParagraph"/>
        <w:rPr>
          <w:rFonts w:ascii="Arial" w:hAnsi="Arial" w:cs="Arial"/>
        </w:rPr>
      </w:pPr>
    </w:p>
    <w:p w14:paraId="11AF552F" w14:textId="77777777" w:rsidR="008F186D" w:rsidRDefault="008F186D" w:rsidP="008F186D">
      <w:pPr>
        <w:pStyle w:val="PlainText"/>
        <w:numPr>
          <w:ilvl w:val="0"/>
          <w:numId w:val="2"/>
        </w:numPr>
        <w:contextualSpacing/>
        <w:rPr>
          <w:rFonts w:ascii="Arial" w:hAnsi="Arial" w:cs="Arial"/>
        </w:rPr>
      </w:pPr>
      <w:r>
        <w:rPr>
          <w:rFonts w:ascii="Arial" w:hAnsi="Arial" w:cs="Arial"/>
        </w:rPr>
        <w:t>Teaching/Assessment (33%)</w:t>
      </w:r>
    </w:p>
    <w:p w14:paraId="0E63B0F0" w14:textId="77777777" w:rsidR="008F186D" w:rsidRPr="003D4118" w:rsidRDefault="008F186D" w:rsidP="008F186D">
      <w:pPr>
        <w:pStyle w:val="PlainText"/>
        <w:numPr>
          <w:ilvl w:val="0"/>
          <w:numId w:val="2"/>
        </w:numPr>
        <w:contextualSpacing/>
        <w:rPr>
          <w:rFonts w:ascii="Arial" w:hAnsi="Arial" w:cs="Arial"/>
        </w:rPr>
      </w:pPr>
      <w:r>
        <w:rPr>
          <w:rFonts w:ascii="Arial" w:hAnsi="Arial" w:cs="Arial"/>
        </w:rPr>
        <w:t>University Policies and Procedures (16%)</w:t>
      </w:r>
    </w:p>
    <w:p w14:paraId="218797E5" w14:textId="77777777" w:rsidR="008F186D" w:rsidRDefault="008F186D" w:rsidP="008F186D">
      <w:pPr>
        <w:pStyle w:val="PlainText"/>
        <w:numPr>
          <w:ilvl w:val="0"/>
          <w:numId w:val="2"/>
        </w:numPr>
        <w:contextualSpacing/>
        <w:rPr>
          <w:rFonts w:ascii="Arial" w:hAnsi="Arial" w:cs="Arial"/>
        </w:rPr>
      </w:pPr>
      <w:r>
        <w:rPr>
          <w:rFonts w:ascii="Arial" w:hAnsi="Arial" w:cs="Arial"/>
        </w:rPr>
        <w:t>Facilities (16%)</w:t>
      </w:r>
    </w:p>
    <w:p w14:paraId="69DAE236" w14:textId="77777777" w:rsidR="008F186D" w:rsidRDefault="008F186D" w:rsidP="008F186D">
      <w:pPr>
        <w:pStyle w:val="PlainText"/>
        <w:numPr>
          <w:ilvl w:val="0"/>
          <w:numId w:val="2"/>
        </w:numPr>
        <w:contextualSpacing/>
        <w:rPr>
          <w:rFonts w:ascii="Arial" w:hAnsi="Arial" w:cs="Arial"/>
        </w:rPr>
      </w:pPr>
      <w:r>
        <w:rPr>
          <w:rFonts w:ascii="Arial" w:hAnsi="Arial" w:cs="Arial"/>
        </w:rPr>
        <w:t>Academic Support (16%)</w:t>
      </w:r>
    </w:p>
    <w:p w14:paraId="0D253066" w14:textId="77777777" w:rsidR="008F186D" w:rsidRDefault="008F186D" w:rsidP="008F186D">
      <w:pPr>
        <w:pStyle w:val="PlainText"/>
        <w:contextualSpacing/>
        <w:jc w:val="both"/>
        <w:rPr>
          <w:rFonts w:ascii="Arial" w:hAnsi="Arial" w:cs="Arial"/>
        </w:rPr>
      </w:pPr>
    </w:p>
    <w:p w14:paraId="66BE796B" w14:textId="77777777" w:rsidR="008F186D" w:rsidRDefault="008F186D" w:rsidP="008F186D">
      <w:pPr>
        <w:pStyle w:val="PlainText"/>
        <w:numPr>
          <w:ilvl w:val="0"/>
          <w:numId w:val="1"/>
        </w:numPr>
        <w:contextualSpacing/>
        <w:jc w:val="both"/>
        <w:rPr>
          <w:rFonts w:ascii="Arial" w:hAnsi="Arial" w:cs="Arial"/>
        </w:rPr>
      </w:pPr>
      <w:r>
        <w:rPr>
          <w:rFonts w:ascii="Arial" w:hAnsi="Arial" w:cs="Arial"/>
        </w:rPr>
        <w:t>Teaching/Assessment complaints were spread across University Faculties and as is often the case at this time of year, related to exam conditions. Both Teaching/Assessment and Academic support complaints made reference to a lack of support, delays in feedback and grading of assessment although none of these were upheld, with three being partially upheld. There were 11 complaints in relation to staff conduct in the first quarter although only one was received in the 2</w:t>
      </w:r>
      <w:r w:rsidRPr="0061119C">
        <w:rPr>
          <w:rFonts w:ascii="Arial" w:hAnsi="Arial" w:cs="Arial"/>
          <w:vertAlign w:val="superscript"/>
        </w:rPr>
        <w:t>nd</w:t>
      </w:r>
      <w:r>
        <w:rPr>
          <w:rFonts w:ascii="Arial" w:hAnsi="Arial" w:cs="Arial"/>
        </w:rPr>
        <w:t xml:space="preserve"> quarter. We will continue to monitor these closely as the University continues to prioritise the safety, health and wellbeing of students on campus through initiatives such as Safe 360 and the Strathclyde Community Commitment. </w:t>
      </w:r>
    </w:p>
    <w:p w14:paraId="3444D8D6" w14:textId="77777777" w:rsidR="008F186D" w:rsidRDefault="008F186D" w:rsidP="008F186D">
      <w:pPr>
        <w:pStyle w:val="PlainText"/>
        <w:ind w:left="720"/>
        <w:contextualSpacing/>
        <w:jc w:val="both"/>
        <w:rPr>
          <w:rFonts w:ascii="Arial" w:hAnsi="Arial" w:cs="Arial"/>
        </w:rPr>
      </w:pPr>
    </w:p>
    <w:p w14:paraId="503F50D9" w14:textId="77777777" w:rsidR="008F186D" w:rsidRPr="00D5612E" w:rsidRDefault="008F186D" w:rsidP="008F186D">
      <w:pPr>
        <w:pStyle w:val="PlainText"/>
        <w:numPr>
          <w:ilvl w:val="0"/>
          <w:numId w:val="1"/>
        </w:numPr>
        <w:contextualSpacing/>
        <w:jc w:val="both"/>
        <w:rPr>
          <w:rFonts w:ascii="Arial" w:hAnsi="Arial" w:cs="Arial"/>
        </w:rPr>
      </w:pPr>
      <w:r>
        <w:rPr>
          <w:rFonts w:ascii="Arial" w:hAnsi="Arial" w:cs="Arial"/>
        </w:rPr>
        <w:lastRenderedPageBreak/>
        <w:t>With the above in mind, we organised for our solicitors Andersen and Strathearn to conduct training for our investigators with a specific focus on complaints against staff and particularly those that may require further HR involvement at the complaint’s conclusion. Two sessions have taken place with around 40 investigators attending and three more planned which we hope will be attended by around 60 more.</w:t>
      </w:r>
    </w:p>
    <w:p w14:paraId="280D7D22" w14:textId="77777777" w:rsidR="008F186D" w:rsidRDefault="008F186D" w:rsidP="008F186D">
      <w:pPr>
        <w:pStyle w:val="PlainText"/>
        <w:tabs>
          <w:tab w:val="left" w:pos="2670"/>
        </w:tabs>
        <w:ind w:left="426" w:hanging="426"/>
        <w:contextualSpacing/>
        <w:jc w:val="both"/>
        <w:rPr>
          <w:rFonts w:ascii="Arial" w:hAnsi="Arial" w:cs="Arial"/>
          <w:szCs w:val="22"/>
        </w:rPr>
      </w:pPr>
    </w:p>
    <w:p w14:paraId="28865533" w14:textId="77777777" w:rsidR="008F186D" w:rsidRPr="000210B9" w:rsidRDefault="008F186D" w:rsidP="008F186D">
      <w:pPr>
        <w:pStyle w:val="PlainText"/>
        <w:numPr>
          <w:ilvl w:val="0"/>
          <w:numId w:val="1"/>
        </w:numPr>
        <w:contextualSpacing/>
        <w:jc w:val="both"/>
        <w:rPr>
          <w:rFonts w:ascii="Arial" w:hAnsi="Arial" w:cs="Arial"/>
        </w:rPr>
      </w:pPr>
      <w:r w:rsidRPr="00BD523A">
        <w:rPr>
          <w:rFonts w:ascii="Arial" w:hAnsi="Arial" w:cs="Arial"/>
          <w:szCs w:val="22"/>
        </w:rPr>
        <w:t xml:space="preserve">The average time taken to resolve frontline complaints </w:t>
      </w:r>
      <w:r>
        <w:rPr>
          <w:rFonts w:ascii="Arial" w:hAnsi="Arial" w:cs="Arial"/>
          <w:szCs w:val="22"/>
        </w:rPr>
        <w:t>decreased</w:t>
      </w:r>
      <w:r w:rsidRPr="00BD523A">
        <w:rPr>
          <w:rFonts w:ascii="Arial" w:hAnsi="Arial" w:cs="Arial"/>
          <w:szCs w:val="22"/>
        </w:rPr>
        <w:t xml:space="preserve"> from</w:t>
      </w:r>
      <w:r>
        <w:rPr>
          <w:rFonts w:ascii="Arial" w:hAnsi="Arial" w:cs="Arial"/>
          <w:szCs w:val="22"/>
        </w:rPr>
        <w:t xml:space="preserve"> 7.3 days in the previous quarter to 5.3 days with 64% of complaints closing within the 5 working day timescale target</w:t>
      </w:r>
      <w:r w:rsidRPr="00BD523A">
        <w:rPr>
          <w:rFonts w:ascii="Arial" w:hAnsi="Arial" w:cs="Arial"/>
          <w:szCs w:val="22"/>
        </w:rPr>
        <w:t>.</w:t>
      </w:r>
      <w:r>
        <w:rPr>
          <w:rFonts w:ascii="Arial" w:hAnsi="Arial" w:cs="Arial"/>
          <w:szCs w:val="22"/>
        </w:rPr>
        <w:t xml:space="preserve"> T</w:t>
      </w:r>
      <w:r w:rsidRPr="00BD523A">
        <w:rPr>
          <w:rFonts w:ascii="Arial" w:hAnsi="Arial" w:cs="Arial"/>
          <w:szCs w:val="22"/>
        </w:rPr>
        <w:t>he revised CHP requires frontline complaints to be closed on day 10 or moved to stage 2</w:t>
      </w:r>
      <w:r>
        <w:rPr>
          <w:rFonts w:ascii="Arial" w:hAnsi="Arial" w:cs="Arial"/>
          <w:szCs w:val="22"/>
        </w:rPr>
        <w:t xml:space="preserve"> and only one frontline complaint took over 10 days in the second quarter. </w:t>
      </w:r>
    </w:p>
    <w:p w14:paraId="447F42D2" w14:textId="77777777" w:rsidR="008F186D" w:rsidRPr="00C163E4" w:rsidRDefault="008F186D" w:rsidP="008F186D">
      <w:pPr>
        <w:pStyle w:val="ListParagraph"/>
        <w:rPr>
          <w:rFonts w:ascii="Arial" w:hAnsi="Arial" w:cs="Arial"/>
        </w:rPr>
      </w:pPr>
    </w:p>
    <w:p w14:paraId="61333C17" w14:textId="77777777" w:rsidR="008F186D" w:rsidRPr="008F3AA4" w:rsidRDefault="008F186D" w:rsidP="008F186D">
      <w:pPr>
        <w:pStyle w:val="PlainText"/>
        <w:numPr>
          <w:ilvl w:val="0"/>
          <w:numId w:val="1"/>
        </w:numPr>
        <w:contextualSpacing/>
        <w:jc w:val="both"/>
        <w:rPr>
          <w:rFonts w:ascii="Arial" w:hAnsi="Arial" w:cs="Arial"/>
          <w:szCs w:val="22"/>
          <w:highlight w:val="yellow"/>
        </w:rPr>
      </w:pPr>
      <w:r w:rsidRPr="00D21E92">
        <w:rPr>
          <w:rFonts w:ascii="Arial" w:hAnsi="Arial" w:cs="Arial"/>
          <w:szCs w:val="22"/>
        </w:rPr>
        <w:t xml:space="preserve">The average time taken to investigate complaints handled directly at stage 2 </w:t>
      </w:r>
      <w:r>
        <w:rPr>
          <w:rFonts w:ascii="Arial" w:hAnsi="Arial" w:cs="Arial"/>
          <w:szCs w:val="22"/>
        </w:rPr>
        <w:t xml:space="preserve">increased </w:t>
      </w:r>
      <w:r w:rsidRPr="00D21E92">
        <w:rPr>
          <w:rFonts w:ascii="Arial" w:hAnsi="Arial" w:cs="Arial"/>
          <w:szCs w:val="22"/>
        </w:rPr>
        <w:t>from</w:t>
      </w:r>
      <w:r>
        <w:rPr>
          <w:rFonts w:ascii="Arial" w:hAnsi="Arial" w:cs="Arial"/>
          <w:szCs w:val="22"/>
        </w:rPr>
        <w:t xml:space="preserve"> 29.8 days to 39.3 days. There was a total of six complaints investigated directly at Stage 2, two of which were upheld and four partially upheld. Seven</w:t>
      </w:r>
      <w:r w:rsidRPr="00256107">
        <w:rPr>
          <w:rFonts w:ascii="Arial" w:hAnsi="Arial" w:cs="Arial"/>
          <w:szCs w:val="22"/>
        </w:rPr>
        <w:t xml:space="preserve"> complaints were escalated to investigation by the complainant</w:t>
      </w:r>
      <w:r>
        <w:rPr>
          <w:rFonts w:ascii="Arial" w:hAnsi="Arial" w:cs="Arial"/>
          <w:szCs w:val="22"/>
        </w:rPr>
        <w:t>, with an average response time of 29.9 days, three of which were upheld, two partially upheld and 2 not upheld.</w:t>
      </w:r>
    </w:p>
    <w:p w14:paraId="05953B57" w14:textId="77777777" w:rsidR="008F186D" w:rsidRDefault="008F186D" w:rsidP="008F186D">
      <w:pPr>
        <w:pStyle w:val="ListParagraph"/>
        <w:rPr>
          <w:rFonts w:ascii="Arial" w:hAnsi="Arial" w:cs="Arial"/>
        </w:rPr>
      </w:pPr>
    </w:p>
    <w:p w14:paraId="49122B2F" w14:textId="77777777" w:rsidR="008F186D" w:rsidRDefault="008F186D" w:rsidP="008F186D">
      <w:pPr>
        <w:pStyle w:val="PlainText"/>
        <w:numPr>
          <w:ilvl w:val="0"/>
          <w:numId w:val="1"/>
        </w:numPr>
        <w:contextualSpacing/>
        <w:jc w:val="both"/>
        <w:rPr>
          <w:rFonts w:ascii="Arial" w:hAnsi="Arial" w:cs="Arial"/>
          <w:szCs w:val="22"/>
        </w:rPr>
      </w:pPr>
      <w:r>
        <w:rPr>
          <w:rFonts w:ascii="Arial" w:hAnsi="Arial" w:cs="Arial"/>
          <w:szCs w:val="22"/>
        </w:rPr>
        <w:t>The below table breaks down the total number of complaints received in this quarter and the equivalent quarter in 2021/22.</w:t>
      </w:r>
    </w:p>
    <w:p w14:paraId="590F74DA" w14:textId="77777777" w:rsidR="008F186D" w:rsidRDefault="008F186D" w:rsidP="008F186D">
      <w:pPr>
        <w:pStyle w:val="ListParagraph"/>
        <w:rPr>
          <w:rFonts w:ascii="Arial" w:hAnsi="Arial" w:cs="Arial"/>
        </w:rPr>
      </w:pPr>
    </w:p>
    <w:tbl>
      <w:tblPr>
        <w:tblStyle w:val="TableGrid"/>
        <w:tblW w:w="0" w:type="auto"/>
        <w:tblLook w:val="04A0" w:firstRow="1" w:lastRow="0" w:firstColumn="1" w:lastColumn="0" w:noHBand="0" w:noVBand="1"/>
      </w:tblPr>
      <w:tblGrid>
        <w:gridCol w:w="1893"/>
        <w:gridCol w:w="1784"/>
        <w:gridCol w:w="1784"/>
        <w:gridCol w:w="1777"/>
        <w:gridCol w:w="1778"/>
      </w:tblGrid>
      <w:tr w:rsidR="008F186D" w14:paraId="56CC2B0D" w14:textId="77777777" w:rsidTr="00B41458">
        <w:tc>
          <w:tcPr>
            <w:tcW w:w="2091" w:type="dxa"/>
          </w:tcPr>
          <w:p w14:paraId="4102B3AD" w14:textId="77777777" w:rsidR="008F186D" w:rsidRDefault="008F186D" w:rsidP="00B41458">
            <w:pPr>
              <w:pStyle w:val="PlainText"/>
              <w:contextualSpacing/>
              <w:jc w:val="both"/>
              <w:rPr>
                <w:rFonts w:ascii="Arial" w:hAnsi="Arial" w:cs="Arial"/>
                <w:szCs w:val="22"/>
              </w:rPr>
            </w:pPr>
            <w:r>
              <w:rPr>
                <w:rFonts w:ascii="Arial" w:hAnsi="Arial" w:cs="Arial"/>
                <w:szCs w:val="22"/>
              </w:rPr>
              <w:t>Faculty</w:t>
            </w:r>
          </w:p>
        </w:tc>
        <w:tc>
          <w:tcPr>
            <w:tcW w:w="2091" w:type="dxa"/>
          </w:tcPr>
          <w:p w14:paraId="1FB3BD94" w14:textId="77777777" w:rsidR="008F186D" w:rsidRDefault="008F186D" w:rsidP="00B41458">
            <w:pPr>
              <w:pStyle w:val="PlainText"/>
              <w:contextualSpacing/>
              <w:jc w:val="both"/>
              <w:rPr>
                <w:rFonts w:ascii="Arial" w:hAnsi="Arial" w:cs="Arial"/>
                <w:szCs w:val="22"/>
              </w:rPr>
            </w:pPr>
            <w:r>
              <w:rPr>
                <w:rFonts w:ascii="Arial" w:hAnsi="Arial" w:cs="Arial"/>
                <w:szCs w:val="22"/>
              </w:rPr>
              <w:t>Q2 2023/24</w:t>
            </w:r>
          </w:p>
        </w:tc>
        <w:tc>
          <w:tcPr>
            <w:tcW w:w="2091" w:type="dxa"/>
          </w:tcPr>
          <w:p w14:paraId="4D7CA66A" w14:textId="77777777" w:rsidR="008F186D" w:rsidRDefault="008F186D" w:rsidP="00B41458">
            <w:pPr>
              <w:pStyle w:val="PlainText"/>
              <w:contextualSpacing/>
              <w:jc w:val="both"/>
              <w:rPr>
                <w:rFonts w:ascii="Arial" w:hAnsi="Arial" w:cs="Arial"/>
                <w:szCs w:val="22"/>
              </w:rPr>
            </w:pPr>
            <w:r>
              <w:rPr>
                <w:rFonts w:ascii="Arial" w:hAnsi="Arial" w:cs="Arial"/>
                <w:szCs w:val="22"/>
              </w:rPr>
              <w:t>Q2 2022/23</w:t>
            </w:r>
          </w:p>
        </w:tc>
        <w:tc>
          <w:tcPr>
            <w:tcW w:w="2091" w:type="dxa"/>
          </w:tcPr>
          <w:p w14:paraId="42090D92" w14:textId="77777777" w:rsidR="008F186D" w:rsidRDefault="008F186D" w:rsidP="00B41458">
            <w:pPr>
              <w:pStyle w:val="PlainText"/>
              <w:contextualSpacing/>
              <w:jc w:val="both"/>
              <w:rPr>
                <w:rFonts w:ascii="Arial" w:hAnsi="Arial" w:cs="Arial"/>
                <w:szCs w:val="22"/>
              </w:rPr>
            </w:pPr>
            <w:r>
              <w:rPr>
                <w:rFonts w:ascii="Arial" w:hAnsi="Arial" w:cs="Arial"/>
                <w:szCs w:val="22"/>
              </w:rPr>
              <w:t>Change</w:t>
            </w:r>
          </w:p>
        </w:tc>
        <w:tc>
          <w:tcPr>
            <w:tcW w:w="2092" w:type="dxa"/>
          </w:tcPr>
          <w:p w14:paraId="705A6471" w14:textId="77777777" w:rsidR="008F186D" w:rsidRDefault="008F186D" w:rsidP="00B41458">
            <w:pPr>
              <w:pStyle w:val="PlainText"/>
              <w:contextualSpacing/>
              <w:jc w:val="both"/>
              <w:rPr>
                <w:rFonts w:ascii="Arial" w:hAnsi="Arial" w:cs="Arial"/>
                <w:szCs w:val="22"/>
              </w:rPr>
            </w:pPr>
            <w:r>
              <w:rPr>
                <w:rFonts w:ascii="Arial" w:hAnsi="Arial" w:cs="Arial"/>
                <w:szCs w:val="22"/>
              </w:rPr>
              <w:t>% Change</w:t>
            </w:r>
          </w:p>
        </w:tc>
      </w:tr>
      <w:tr w:rsidR="008F186D" w14:paraId="149F57EE" w14:textId="77777777" w:rsidTr="00B41458">
        <w:tc>
          <w:tcPr>
            <w:tcW w:w="2091" w:type="dxa"/>
          </w:tcPr>
          <w:p w14:paraId="719C700E" w14:textId="77777777" w:rsidR="008F186D" w:rsidRDefault="008F186D" w:rsidP="00B41458">
            <w:pPr>
              <w:pStyle w:val="PlainText"/>
              <w:contextualSpacing/>
              <w:jc w:val="both"/>
              <w:rPr>
                <w:rFonts w:ascii="Arial" w:hAnsi="Arial" w:cs="Arial"/>
                <w:szCs w:val="22"/>
              </w:rPr>
            </w:pPr>
            <w:r>
              <w:rPr>
                <w:rFonts w:ascii="Arial" w:hAnsi="Arial" w:cs="Arial"/>
                <w:szCs w:val="22"/>
              </w:rPr>
              <w:t>HAAS</w:t>
            </w:r>
          </w:p>
        </w:tc>
        <w:tc>
          <w:tcPr>
            <w:tcW w:w="2091" w:type="dxa"/>
          </w:tcPr>
          <w:p w14:paraId="1983BD3A" w14:textId="77777777" w:rsidR="008F186D" w:rsidRDefault="008F186D" w:rsidP="00B41458">
            <w:pPr>
              <w:pStyle w:val="PlainText"/>
              <w:contextualSpacing/>
              <w:jc w:val="both"/>
              <w:rPr>
                <w:rFonts w:ascii="Arial" w:hAnsi="Arial" w:cs="Arial"/>
                <w:szCs w:val="22"/>
              </w:rPr>
            </w:pPr>
            <w:r>
              <w:rPr>
                <w:rFonts w:ascii="Arial" w:hAnsi="Arial" w:cs="Arial"/>
                <w:szCs w:val="22"/>
              </w:rPr>
              <w:t>3</w:t>
            </w:r>
          </w:p>
        </w:tc>
        <w:tc>
          <w:tcPr>
            <w:tcW w:w="2091" w:type="dxa"/>
          </w:tcPr>
          <w:p w14:paraId="6DFF2286" w14:textId="77777777" w:rsidR="008F186D" w:rsidRDefault="008F186D" w:rsidP="00B41458">
            <w:pPr>
              <w:pStyle w:val="PlainText"/>
              <w:contextualSpacing/>
              <w:jc w:val="both"/>
              <w:rPr>
                <w:rFonts w:ascii="Arial" w:hAnsi="Arial" w:cs="Arial"/>
                <w:szCs w:val="22"/>
              </w:rPr>
            </w:pPr>
            <w:r>
              <w:rPr>
                <w:rFonts w:ascii="Arial" w:hAnsi="Arial" w:cs="Arial"/>
                <w:szCs w:val="22"/>
              </w:rPr>
              <w:t>2</w:t>
            </w:r>
          </w:p>
        </w:tc>
        <w:tc>
          <w:tcPr>
            <w:tcW w:w="2091" w:type="dxa"/>
          </w:tcPr>
          <w:p w14:paraId="6FDC6151" w14:textId="77777777" w:rsidR="008F186D" w:rsidRDefault="008F186D" w:rsidP="00B41458">
            <w:pPr>
              <w:pStyle w:val="PlainText"/>
              <w:contextualSpacing/>
              <w:jc w:val="both"/>
              <w:rPr>
                <w:rFonts w:ascii="Arial" w:hAnsi="Arial" w:cs="Arial"/>
                <w:szCs w:val="22"/>
              </w:rPr>
            </w:pPr>
            <w:r>
              <w:rPr>
                <w:rFonts w:ascii="Arial" w:hAnsi="Arial" w:cs="Arial"/>
                <w:szCs w:val="22"/>
              </w:rPr>
              <w:t>+1</w:t>
            </w:r>
          </w:p>
        </w:tc>
        <w:tc>
          <w:tcPr>
            <w:tcW w:w="2092" w:type="dxa"/>
          </w:tcPr>
          <w:p w14:paraId="748E5D54" w14:textId="77777777" w:rsidR="008F186D" w:rsidRDefault="008F186D" w:rsidP="00B41458">
            <w:pPr>
              <w:pStyle w:val="PlainText"/>
              <w:contextualSpacing/>
              <w:jc w:val="both"/>
              <w:rPr>
                <w:rFonts w:ascii="Arial" w:hAnsi="Arial" w:cs="Arial"/>
                <w:szCs w:val="22"/>
              </w:rPr>
            </w:pPr>
            <w:r>
              <w:rPr>
                <w:rFonts w:ascii="Arial" w:hAnsi="Arial" w:cs="Arial"/>
                <w:szCs w:val="22"/>
              </w:rPr>
              <w:t>+33%</w:t>
            </w:r>
          </w:p>
        </w:tc>
      </w:tr>
      <w:tr w:rsidR="008F186D" w14:paraId="4FB91422" w14:textId="77777777" w:rsidTr="00B41458">
        <w:tc>
          <w:tcPr>
            <w:tcW w:w="2091" w:type="dxa"/>
          </w:tcPr>
          <w:p w14:paraId="3FFCF50A" w14:textId="77777777" w:rsidR="008F186D" w:rsidRDefault="008F186D" w:rsidP="00B41458">
            <w:pPr>
              <w:pStyle w:val="PlainText"/>
              <w:contextualSpacing/>
              <w:jc w:val="both"/>
              <w:rPr>
                <w:rFonts w:ascii="Arial" w:hAnsi="Arial" w:cs="Arial"/>
                <w:szCs w:val="22"/>
              </w:rPr>
            </w:pPr>
            <w:r>
              <w:rPr>
                <w:rFonts w:ascii="Arial" w:hAnsi="Arial" w:cs="Arial"/>
                <w:szCs w:val="22"/>
              </w:rPr>
              <w:t>Engineering</w:t>
            </w:r>
          </w:p>
        </w:tc>
        <w:tc>
          <w:tcPr>
            <w:tcW w:w="2091" w:type="dxa"/>
          </w:tcPr>
          <w:p w14:paraId="66516795" w14:textId="77777777" w:rsidR="008F186D" w:rsidRDefault="008F186D" w:rsidP="00B41458">
            <w:pPr>
              <w:pStyle w:val="PlainText"/>
              <w:contextualSpacing/>
              <w:jc w:val="both"/>
              <w:rPr>
                <w:rFonts w:ascii="Arial" w:hAnsi="Arial" w:cs="Arial"/>
                <w:szCs w:val="22"/>
              </w:rPr>
            </w:pPr>
            <w:r>
              <w:rPr>
                <w:rFonts w:ascii="Arial" w:hAnsi="Arial" w:cs="Arial"/>
                <w:szCs w:val="22"/>
              </w:rPr>
              <w:t>6</w:t>
            </w:r>
          </w:p>
        </w:tc>
        <w:tc>
          <w:tcPr>
            <w:tcW w:w="2091" w:type="dxa"/>
          </w:tcPr>
          <w:p w14:paraId="5BFFAEFF" w14:textId="77777777" w:rsidR="008F186D" w:rsidRDefault="008F186D" w:rsidP="00B41458">
            <w:pPr>
              <w:pStyle w:val="PlainText"/>
              <w:contextualSpacing/>
              <w:jc w:val="both"/>
              <w:rPr>
                <w:rFonts w:ascii="Arial" w:hAnsi="Arial" w:cs="Arial"/>
                <w:szCs w:val="22"/>
              </w:rPr>
            </w:pPr>
            <w:r>
              <w:rPr>
                <w:rFonts w:ascii="Arial" w:hAnsi="Arial" w:cs="Arial"/>
                <w:szCs w:val="22"/>
              </w:rPr>
              <w:t>29</w:t>
            </w:r>
          </w:p>
        </w:tc>
        <w:tc>
          <w:tcPr>
            <w:tcW w:w="2091" w:type="dxa"/>
          </w:tcPr>
          <w:p w14:paraId="7AE94DBE" w14:textId="77777777" w:rsidR="008F186D" w:rsidRDefault="008F186D" w:rsidP="00B41458">
            <w:pPr>
              <w:pStyle w:val="PlainText"/>
              <w:contextualSpacing/>
              <w:jc w:val="both"/>
              <w:rPr>
                <w:rFonts w:ascii="Arial" w:hAnsi="Arial" w:cs="Arial"/>
                <w:szCs w:val="22"/>
              </w:rPr>
            </w:pPr>
            <w:r>
              <w:rPr>
                <w:rFonts w:ascii="Arial" w:hAnsi="Arial" w:cs="Arial"/>
                <w:szCs w:val="22"/>
              </w:rPr>
              <w:t>-23</w:t>
            </w:r>
          </w:p>
        </w:tc>
        <w:tc>
          <w:tcPr>
            <w:tcW w:w="2092" w:type="dxa"/>
          </w:tcPr>
          <w:p w14:paraId="63585B72" w14:textId="77777777" w:rsidR="008F186D" w:rsidRDefault="008F186D" w:rsidP="00B41458">
            <w:pPr>
              <w:pStyle w:val="PlainText"/>
              <w:contextualSpacing/>
              <w:jc w:val="both"/>
              <w:rPr>
                <w:rFonts w:ascii="Arial" w:hAnsi="Arial" w:cs="Arial"/>
                <w:szCs w:val="22"/>
              </w:rPr>
            </w:pPr>
            <w:r>
              <w:rPr>
                <w:rFonts w:ascii="Arial" w:hAnsi="Arial" w:cs="Arial"/>
                <w:szCs w:val="22"/>
              </w:rPr>
              <w:t>-79%</w:t>
            </w:r>
          </w:p>
        </w:tc>
      </w:tr>
      <w:tr w:rsidR="008F186D" w14:paraId="0AE8D9B3" w14:textId="77777777" w:rsidTr="00B41458">
        <w:tc>
          <w:tcPr>
            <w:tcW w:w="2091" w:type="dxa"/>
          </w:tcPr>
          <w:p w14:paraId="0A462F87" w14:textId="77777777" w:rsidR="008F186D" w:rsidRDefault="008F186D" w:rsidP="00B41458">
            <w:pPr>
              <w:pStyle w:val="PlainText"/>
              <w:contextualSpacing/>
              <w:jc w:val="both"/>
              <w:rPr>
                <w:rFonts w:ascii="Arial" w:hAnsi="Arial" w:cs="Arial"/>
                <w:szCs w:val="22"/>
              </w:rPr>
            </w:pPr>
            <w:r>
              <w:rPr>
                <w:rFonts w:ascii="Arial" w:hAnsi="Arial" w:cs="Arial"/>
                <w:szCs w:val="22"/>
              </w:rPr>
              <w:t>Business</w:t>
            </w:r>
          </w:p>
        </w:tc>
        <w:tc>
          <w:tcPr>
            <w:tcW w:w="2091" w:type="dxa"/>
          </w:tcPr>
          <w:p w14:paraId="4199F2FC" w14:textId="77777777" w:rsidR="008F186D" w:rsidRDefault="008F186D" w:rsidP="00B41458">
            <w:pPr>
              <w:pStyle w:val="PlainText"/>
              <w:contextualSpacing/>
              <w:jc w:val="both"/>
              <w:rPr>
                <w:rFonts w:ascii="Arial" w:hAnsi="Arial" w:cs="Arial"/>
                <w:szCs w:val="22"/>
              </w:rPr>
            </w:pPr>
            <w:r>
              <w:rPr>
                <w:rFonts w:ascii="Arial" w:hAnsi="Arial" w:cs="Arial"/>
                <w:szCs w:val="22"/>
              </w:rPr>
              <w:t>6</w:t>
            </w:r>
          </w:p>
        </w:tc>
        <w:tc>
          <w:tcPr>
            <w:tcW w:w="2091" w:type="dxa"/>
          </w:tcPr>
          <w:p w14:paraId="4A0B7614" w14:textId="77777777" w:rsidR="008F186D" w:rsidRDefault="008F186D" w:rsidP="00B41458">
            <w:pPr>
              <w:pStyle w:val="PlainText"/>
              <w:contextualSpacing/>
              <w:jc w:val="both"/>
              <w:rPr>
                <w:rFonts w:ascii="Arial" w:hAnsi="Arial" w:cs="Arial"/>
                <w:szCs w:val="22"/>
              </w:rPr>
            </w:pPr>
            <w:r>
              <w:rPr>
                <w:rFonts w:ascii="Arial" w:hAnsi="Arial" w:cs="Arial"/>
                <w:szCs w:val="22"/>
              </w:rPr>
              <w:t>6</w:t>
            </w:r>
          </w:p>
        </w:tc>
        <w:tc>
          <w:tcPr>
            <w:tcW w:w="2091" w:type="dxa"/>
          </w:tcPr>
          <w:p w14:paraId="34BDB083" w14:textId="77777777" w:rsidR="008F186D" w:rsidRDefault="008F186D" w:rsidP="00B41458">
            <w:pPr>
              <w:pStyle w:val="PlainText"/>
              <w:contextualSpacing/>
              <w:jc w:val="both"/>
              <w:rPr>
                <w:rFonts w:ascii="Arial" w:hAnsi="Arial" w:cs="Arial"/>
                <w:szCs w:val="22"/>
              </w:rPr>
            </w:pPr>
            <w:r>
              <w:rPr>
                <w:rFonts w:ascii="Arial" w:hAnsi="Arial" w:cs="Arial"/>
                <w:szCs w:val="22"/>
              </w:rPr>
              <w:t>0</w:t>
            </w:r>
          </w:p>
        </w:tc>
        <w:tc>
          <w:tcPr>
            <w:tcW w:w="2092" w:type="dxa"/>
          </w:tcPr>
          <w:p w14:paraId="6C2963DC" w14:textId="77777777" w:rsidR="008F186D" w:rsidRDefault="008F186D" w:rsidP="00B41458">
            <w:pPr>
              <w:pStyle w:val="PlainText"/>
              <w:contextualSpacing/>
              <w:jc w:val="both"/>
              <w:rPr>
                <w:rFonts w:ascii="Arial" w:hAnsi="Arial" w:cs="Arial"/>
                <w:szCs w:val="22"/>
              </w:rPr>
            </w:pPr>
            <w:r>
              <w:rPr>
                <w:rFonts w:ascii="Arial" w:hAnsi="Arial" w:cs="Arial"/>
                <w:szCs w:val="22"/>
              </w:rPr>
              <w:t>0</w:t>
            </w:r>
          </w:p>
        </w:tc>
      </w:tr>
      <w:tr w:rsidR="008F186D" w14:paraId="01B3F91B" w14:textId="77777777" w:rsidTr="00B41458">
        <w:tc>
          <w:tcPr>
            <w:tcW w:w="2091" w:type="dxa"/>
          </w:tcPr>
          <w:p w14:paraId="21F4555C" w14:textId="77777777" w:rsidR="008F186D" w:rsidRDefault="008F186D" w:rsidP="00B41458">
            <w:pPr>
              <w:pStyle w:val="PlainText"/>
              <w:contextualSpacing/>
              <w:jc w:val="both"/>
              <w:rPr>
                <w:rFonts w:ascii="Arial" w:hAnsi="Arial" w:cs="Arial"/>
                <w:szCs w:val="22"/>
              </w:rPr>
            </w:pPr>
            <w:r>
              <w:rPr>
                <w:rFonts w:ascii="Arial" w:hAnsi="Arial" w:cs="Arial"/>
                <w:szCs w:val="22"/>
              </w:rPr>
              <w:t>Science</w:t>
            </w:r>
          </w:p>
        </w:tc>
        <w:tc>
          <w:tcPr>
            <w:tcW w:w="2091" w:type="dxa"/>
          </w:tcPr>
          <w:p w14:paraId="357B8024" w14:textId="77777777" w:rsidR="008F186D" w:rsidRDefault="008F186D" w:rsidP="00B41458">
            <w:pPr>
              <w:pStyle w:val="PlainText"/>
              <w:contextualSpacing/>
              <w:jc w:val="both"/>
              <w:rPr>
                <w:rFonts w:ascii="Arial" w:hAnsi="Arial" w:cs="Arial"/>
                <w:szCs w:val="22"/>
              </w:rPr>
            </w:pPr>
            <w:r>
              <w:rPr>
                <w:rFonts w:ascii="Arial" w:hAnsi="Arial" w:cs="Arial"/>
                <w:szCs w:val="22"/>
              </w:rPr>
              <w:t>1</w:t>
            </w:r>
          </w:p>
        </w:tc>
        <w:tc>
          <w:tcPr>
            <w:tcW w:w="2091" w:type="dxa"/>
          </w:tcPr>
          <w:p w14:paraId="5DEFB720" w14:textId="77777777" w:rsidR="008F186D" w:rsidRDefault="008F186D" w:rsidP="00B41458">
            <w:pPr>
              <w:pStyle w:val="PlainText"/>
              <w:contextualSpacing/>
              <w:jc w:val="both"/>
              <w:rPr>
                <w:rFonts w:ascii="Arial" w:hAnsi="Arial" w:cs="Arial"/>
                <w:szCs w:val="22"/>
              </w:rPr>
            </w:pPr>
            <w:r>
              <w:rPr>
                <w:rFonts w:ascii="Arial" w:hAnsi="Arial" w:cs="Arial"/>
                <w:szCs w:val="22"/>
              </w:rPr>
              <w:t>1</w:t>
            </w:r>
          </w:p>
        </w:tc>
        <w:tc>
          <w:tcPr>
            <w:tcW w:w="2091" w:type="dxa"/>
          </w:tcPr>
          <w:p w14:paraId="50511C7E" w14:textId="77777777" w:rsidR="008F186D" w:rsidRDefault="008F186D" w:rsidP="00B41458">
            <w:pPr>
              <w:pStyle w:val="PlainText"/>
              <w:contextualSpacing/>
              <w:jc w:val="both"/>
              <w:rPr>
                <w:rFonts w:ascii="Arial" w:hAnsi="Arial" w:cs="Arial"/>
                <w:szCs w:val="22"/>
              </w:rPr>
            </w:pPr>
            <w:r>
              <w:rPr>
                <w:rFonts w:ascii="Arial" w:hAnsi="Arial" w:cs="Arial"/>
                <w:szCs w:val="22"/>
              </w:rPr>
              <w:t>0</w:t>
            </w:r>
          </w:p>
        </w:tc>
        <w:tc>
          <w:tcPr>
            <w:tcW w:w="2092" w:type="dxa"/>
          </w:tcPr>
          <w:p w14:paraId="52BEEDC1" w14:textId="77777777" w:rsidR="008F186D" w:rsidRDefault="008F186D" w:rsidP="00B41458">
            <w:pPr>
              <w:pStyle w:val="PlainText"/>
              <w:contextualSpacing/>
              <w:jc w:val="both"/>
              <w:rPr>
                <w:rFonts w:ascii="Arial" w:hAnsi="Arial" w:cs="Arial"/>
                <w:szCs w:val="22"/>
              </w:rPr>
            </w:pPr>
            <w:r>
              <w:rPr>
                <w:rFonts w:ascii="Arial" w:hAnsi="Arial" w:cs="Arial"/>
                <w:szCs w:val="22"/>
              </w:rPr>
              <w:t>0</w:t>
            </w:r>
          </w:p>
        </w:tc>
      </w:tr>
      <w:tr w:rsidR="008F186D" w14:paraId="0368826F" w14:textId="77777777" w:rsidTr="00B41458">
        <w:tc>
          <w:tcPr>
            <w:tcW w:w="2091" w:type="dxa"/>
          </w:tcPr>
          <w:p w14:paraId="70683B2D" w14:textId="77777777" w:rsidR="008F186D" w:rsidRDefault="008F186D" w:rsidP="00B41458">
            <w:pPr>
              <w:pStyle w:val="PlainText"/>
              <w:contextualSpacing/>
              <w:jc w:val="both"/>
              <w:rPr>
                <w:rFonts w:ascii="Arial" w:hAnsi="Arial" w:cs="Arial"/>
                <w:szCs w:val="22"/>
              </w:rPr>
            </w:pPr>
            <w:r>
              <w:rPr>
                <w:rFonts w:ascii="Arial" w:hAnsi="Arial" w:cs="Arial"/>
                <w:szCs w:val="22"/>
              </w:rPr>
              <w:t>Total</w:t>
            </w:r>
          </w:p>
        </w:tc>
        <w:tc>
          <w:tcPr>
            <w:tcW w:w="2091" w:type="dxa"/>
          </w:tcPr>
          <w:p w14:paraId="69B31A4B" w14:textId="77777777" w:rsidR="008F186D" w:rsidRDefault="008F186D" w:rsidP="00B41458">
            <w:pPr>
              <w:pStyle w:val="PlainText"/>
              <w:contextualSpacing/>
              <w:jc w:val="both"/>
              <w:rPr>
                <w:rFonts w:ascii="Arial" w:hAnsi="Arial" w:cs="Arial"/>
                <w:szCs w:val="22"/>
              </w:rPr>
            </w:pPr>
            <w:r>
              <w:rPr>
                <w:rFonts w:ascii="Arial" w:hAnsi="Arial" w:cs="Arial"/>
                <w:szCs w:val="22"/>
              </w:rPr>
              <w:t>16</w:t>
            </w:r>
          </w:p>
        </w:tc>
        <w:tc>
          <w:tcPr>
            <w:tcW w:w="2091" w:type="dxa"/>
          </w:tcPr>
          <w:p w14:paraId="1704A436" w14:textId="77777777" w:rsidR="008F186D" w:rsidRDefault="008F186D" w:rsidP="00B41458">
            <w:pPr>
              <w:pStyle w:val="PlainText"/>
              <w:contextualSpacing/>
              <w:jc w:val="both"/>
              <w:rPr>
                <w:rFonts w:ascii="Arial" w:hAnsi="Arial" w:cs="Arial"/>
                <w:szCs w:val="22"/>
              </w:rPr>
            </w:pPr>
            <w:r>
              <w:rPr>
                <w:rFonts w:ascii="Arial" w:hAnsi="Arial" w:cs="Arial"/>
                <w:szCs w:val="22"/>
              </w:rPr>
              <w:t>38</w:t>
            </w:r>
          </w:p>
        </w:tc>
        <w:tc>
          <w:tcPr>
            <w:tcW w:w="2091" w:type="dxa"/>
          </w:tcPr>
          <w:p w14:paraId="281C73DA" w14:textId="77777777" w:rsidR="008F186D" w:rsidRDefault="008F186D" w:rsidP="00B41458">
            <w:pPr>
              <w:pStyle w:val="PlainText"/>
              <w:contextualSpacing/>
              <w:jc w:val="both"/>
              <w:rPr>
                <w:rFonts w:ascii="Arial" w:hAnsi="Arial" w:cs="Arial"/>
                <w:szCs w:val="22"/>
              </w:rPr>
            </w:pPr>
            <w:r>
              <w:rPr>
                <w:rFonts w:ascii="Arial" w:hAnsi="Arial" w:cs="Arial"/>
                <w:szCs w:val="22"/>
              </w:rPr>
              <w:t>-22</w:t>
            </w:r>
          </w:p>
        </w:tc>
        <w:tc>
          <w:tcPr>
            <w:tcW w:w="2092" w:type="dxa"/>
          </w:tcPr>
          <w:p w14:paraId="66952991" w14:textId="77777777" w:rsidR="008F186D" w:rsidRDefault="008F186D" w:rsidP="00B41458">
            <w:pPr>
              <w:pStyle w:val="PlainText"/>
              <w:contextualSpacing/>
              <w:jc w:val="both"/>
              <w:rPr>
                <w:rFonts w:ascii="Arial" w:hAnsi="Arial" w:cs="Arial"/>
                <w:szCs w:val="22"/>
              </w:rPr>
            </w:pPr>
            <w:r>
              <w:rPr>
                <w:rFonts w:ascii="Arial" w:hAnsi="Arial" w:cs="Arial"/>
                <w:szCs w:val="22"/>
              </w:rPr>
              <w:t>-58%</w:t>
            </w:r>
          </w:p>
        </w:tc>
      </w:tr>
    </w:tbl>
    <w:p w14:paraId="5B609F3C" w14:textId="77777777" w:rsidR="008F186D" w:rsidRDefault="008F186D" w:rsidP="008F186D">
      <w:pPr>
        <w:pStyle w:val="PlainText"/>
        <w:contextualSpacing/>
        <w:jc w:val="both"/>
        <w:rPr>
          <w:rFonts w:ascii="Arial" w:hAnsi="Arial" w:cs="Arial"/>
          <w:szCs w:val="22"/>
        </w:rPr>
      </w:pPr>
    </w:p>
    <w:p w14:paraId="24C9A281" w14:textId="77777777" w:rsidR="008F186D" w:rsidRDefault="008F186D" w:rsidP="008F186D">
      <w:pPr>
        <w:pStyle w:val="ListParagraph"/>
        <w:rPr>
          <w:rFonts w:ascii="Arial" w:hAnsi="Arial" w:cs="Arial"/>
        </w:rPr>
      </w:pPr>
    </w:p>
    <w:p w14:paraId="666C034E" w14:textId="77777777" w:rsidR="008F186D" w:rsidRDefault="008F186D" w:rsidP="008F186D">
      <w:pPr>
        <w:pStyle w:val="PlainText"/>
        <w:numPr>
          <w:ilvl w:val="0"/>
          <w:numId w:val="1"/>
        </w:numPr>
        <w:contextualSpacing/>
        <w:jc w:val="both"/>
        <w:rPr>
          <w:rFonts w:ascii="Arial" w:hAnsi="Arial" w:cs="Arial"/>
          <w:szCs w:val="22"/>
        </w:rPr>
      </w:pPr>
      <w:r>
        <w:rPr>
          <w:rFonts w:ascii="Arial" w:hAnsi="Arial" w:cs="Arial"/>
          <w:szCs w:val="22"/>
        </w:rPr>
        <w:t>The significant reduction in Engineering complaints can be attributed to the complaints around exam conditions mentioned in point 5. The remaining Faculties recorded almost no change in numbers in comparison to quarter 2 in 2022/23.</w:t>
      </w:r>
    </w:p>
    <w:p w14:paraId="58C7BC5F" w14:textId="77777777" w:rsidR="008F186D" w:rsidRDefault="008F186D" w:rsidP="008F186D">
      <w:pPr>
        <w:pStyle w:val="ListParagraph"/>
        <w:rPr>
          <w:rFonts w:ascii="Arial" w:hAnsi="Arial" w:cs="Arial"/>
        </w:rPr>
      </w:pPr>
    </w:p>
    <w:p w14:paraId="01927E14" w14:textId="77777777" w:rsidR="008F186D" w:rsidRPr="00936CF3" w:rsidRDefault="008F186D" w:rsidP="008F186D">
      <w:pPr>
        <w:pStyle w:val="PlainText"/>
        <w:numPr>
          <w:ilvl w:val="0"/>
          <w:numId w:val="1"/>
        </w:numPr>
        <w:contextualSpacing/>
        <w:jc w:val="both"/>
        <w:rPr>
          <w:rFonts w:ascii="Arial" w:hAnsi="Arial" w:cs="Arial"/>
          <w:szCs w:val="22"/>
        </w:rPr>
      </w:pPr>
      <w:r w:rsidRPr="00936CF3">
        <w:rPr>
          <w:rFonts w:ascii="Arial" w:hAnsi="Arial" w:cs="Arial"/>
          <w:szCs w:val="22"/>
        </w:rPr>
        <w:t xml:space="preserve">Frontline complaints may be classified as ‘upheld’, ‘not upheld’ or ‘resolved’. </w:t>
      </w:r>
      <w:r>
        <w:rPr>
          <w:rFonts w:ascii="Arial" w:hAnsi="Arial" w:cs="Arial"/>
          <w:szCs w:val="22"/>
        </w:rPr>
        <w:t xml:space="preserve">The University continues to focus on frontline resolution and 16% of frontline complaints were resolved and that will continue to be a focus for this year. </w:t>
      </w:r>
    </w:p>
    <w:p w14:paraId="6BFB7884" w14:textId="77777777" w:rsidR="008F186D" w:rsidRDefault="008F186D" w:rsidP="008F186D">
      <w:pPr>
        <w:pStyle w:val="ListParagraph"/>
        <w:rPr>
          <w:rFonts w:ascii="Arial" w:hAnsi="Arial" w:cs="Arial"/>
        </w:rPr>
      </w:pPr>
    </w:p>
    <w:p w14:paraId="47BD760D" w14:textId="56DC5A48" w:rsidR="0047390F" w:rsidRDefault="0047390F"/>
    <w:sectPr w:rsidR="00473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C5B71"/>
    <w:multiLevelType w:val="hybridMultilevel"/>
    <w:tmpl w:val="91B66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8C6A20"/>
    <w:multiLevelType w:val="hybridMultilevel"/>
    <w:tmpl w:val="3B0809C6"/>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692733784">
    <w:abstractNumId w:val="0"/>
  </w:num>
  <w:num w:numId="2" w16cid:durableId="1289579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0F"/>
    <w:rsid w:val="0047390F"/>
    <w:rsid w:val="00587CB9"/>
    <w:rsid w:val="008F186D"/>
    <w:rsid w:val="00BF4E27"/>
    <w:rsid w:val="00C20EAA"/>
    <w:rsid w:val="00E03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379C"/>
  <w15:chartTrackingRefBased/>
  <w15:docId w15:val="{1D9DBBFF-7A4F-4248-A750-EBFE1D9D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8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186D"/>
    <w:rPr>
      <w:rFonts w:ascii="Calibri" w:hAnsi="Calibri"/>
      <w:szCs w:val="21"/>
    </w:rPr>
  </w:style>
  <w:style w:type="character" w:customStyle="1" w:styleId="PlainTextChar">
    <w:name w:val="Plain Text Char"/>
    <w:basedOn w:val="DefaultParagraphFont"/>
    <w:link w:val="PlainText"/>
    <w:uiPriority w:val="99"/>
    <w:rsid w:val="008F186D"/>
    <w:rPr>
      <w:rFonts w:ascii="Calibri" w:hAnsi="Calibri"/>
      <w:szCs w:val="21"/>
    </w:rPr>
  </w:style>
  <w:style w:type="paragraph" w:styleId="ListParagraph">
    <w:name w:val="List Paragraph"/>
    <w:basedOn w:val="Normal"/>
    <w:uiPriority w:val="1"/>
    <w:qFormat/>
    <w:rsid w:val="008F186D"/>
    <w:pPr>
      <w:ind w:left="720"/>
      <w:contextualSpacing/>
    </w:pPr>
  </w:style>
  <w:style w:type="character" w:styleId="Hyperlink">
    <w:name w:val="Hyperlink"/>
    <w:uiPriority w:val="99"/>
    <w:rsid w:val="008F186D"/>
    <w:rPr>
      <w:color w:val="0000FF"/>
      <w:u w:val="single"/>
    </w:rPr>
  </w:style>
  <w:style w:type="table" w:styleId="TableGrid">
    <w:name w:val="Table Grid"/>
    <w:basedOn w:val="TableNormal"/>
    <w:uiPriority w:val="59"/>
    <w:rsid w:val="008F1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asses.myplace.strath.ac.uk/course/view.php?id=261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Mochan</dc:creator>
  <cp:keywords/>
  <dc:description/>
  <cp:lastModifiedBy>Chris Mochan</cp:lastModifiedBy>
  <cp:revision>1</cp:revision>
  <dcterms:created xsi:type="dcterms:W3CDTF">2024-03-19T10:01:00Z</dcterms:created>
  <dcterms:modified xsi:type="dcterms:W3CDTF">2024-03-19T11:14:00Z</dcterms:modified>
</cp:coreProperties>
</file>