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1F11" w14:textId="77777777" w:rsidR="00264E61" w:rsidRPr="00782790" w:rsidRDefault="00264E61" w:rsidP="00F149C4">
      <w:pPr>
        <w:pStyle w:val="Heading1"/>
      </w:pPr>
      <w:r w:rsidRPr="00782790">
        <w:t>MSCA Postdoctoral Fellowships 2026</w:t>
      </w:r>
    </w:p>
    <w:p w14:paraId="56F1942F" w14:textId="77777777" w:rsidR="00264E61" w:rsidRPr="00782790" w:rsidRDefault="00264E61" w:rsidP="00F149C4">
      <w:pPr>
        <w:pStyle w:val="Heading1"/>
      </w:pPr>
      <w:r w:rsidRPr="00782790">
        <w:t>University of Strathclyde</w:t>
      </w:r>
    </w:p>
    <w:p w14:paraId="0CCEB415" w14:textId="77777777" w:rsidR="00264E61" w:rsidRPr="00782790" w:rsidRDefault="00264E61" w:rsidP="00F149C4">
      <w:pPr>
        <w:pStyle w:val="Heading1"/>
      </w:pPr>
      <w:r w:rsidRPr="00782790">
        <w:t>Internal Supervisor Matching &amp; Selection Framework</w:t>
      </w:r>
    </w:p>
    <w:p w14:paraId="70DF3768" w14:textId="77777777" w:rsidR="00264E61" w:rsidRPr="00440463" w:rsidRDefault="00264E61" w:rsidP="00264E61">
      <w:pPr>
        <w:spacing w:after="0"/>
        <w:rPr>
          <w:rFonts w:ascii="Aptos" w:hAnsi="Aptos" w:cs="Times New Roman"/>
          <w:sz w:val="24"/>
          <w:szCs w:val="24"/>
        </w:rPr>
      </w:pPr>
    </w:p>
    <w:p w14:paraId="3E5D904F" w14:textId="77777777" w:rsidR="00264E61" w:rsidRDefault="00264E61" w:rsidP="00264E61">
      <w:pPr>
        <w:spacing w:after="0"/>
        <w:rPr>
          <w:rFonts w:ascii="Aptos" w:hAnsi="Aptos" w:cs="Times New Roman"/>
          <w:b/>
          <w:bCs/>
          <w:color w:val="1F497D" w:themeColor="text2"/>
          <w:sz w:val="24"/>
          <w:szCs w:val="24"/>
        </w:rPr>
      </w:pPr>
    </w:p>
    <w:p w14:paraId="26760689" w14:textId="77777777" w:rsidR="00264E61" w:rsidRPr="00F149C4" w:rsidRDefault="00264E61" w:rsidP="00F149C4">
      <w:pPr>
        <w:pStyle w:val="Heading2"/>
      </w:pPr>
      <w:r w:rsidRPr="00F149C4">
        <w:t>Purpose of this Call for Expressions of Interest</w:t>
      </w:r>
    </w:p>
    <w:p w14:paraId="18E57576" w14:textId="77777777" w:rsidR="00264E61" w:rsidRDefault="00264E61" w:rsidP="00264E61">
      <w:pPr>
        <w:spacing w:after="0"/>
        <w:rPr>
          <w:rFonts w:ascii="Aptos" w:hAnsi="Aptos" w:cs="Times New Roman"/>
          <w:sz w:val="24"/>
          <w:szCs w:val="24"/>
        </w:rPr>
      </w:pPr>
    </w:p>
    <w:p w14:paraId="35D7F27B" w14:textId="77777777" w:rsidR="00264E61" w:rsidRPr="00440463" w:rsidRDefault="00264E61" w:rsidP="00264E61">
      <w:pPr>
        <w:spacing w:after="0"/>
        <w:rPr>
          <w:rFonts w:ascii="Aptos" w:hAnsi="Aptos" w:cs="Times New Roman"/>
          <w:sz w:val="24"/>
          <w:szCs w:val="24"/>
        </w:rPr>
      </w:pPr>
      <w:r>
        <w:rPr>
          <w:rFonts w:ascii="Aptos" w:hAnsi="Aptos" w:cs="Times New Roman"/>
          <w:sz w:val="24"/>
          <w:szCs w:val="24"/>
        </w:rPr>
        <w:t xml:space="preserve">We are </w:t>
      </w:r>
      <w:r w:rsidRPr="0094266B">
        <w:rPr>
          <w:rFonts w:ascii="Aptos" w:hAnsi="Aptos" w:cs="Times New Roman"/>
          <w:sz w:val="24"/>
          <w:szCs w:val="24"/>
        </w:rPr>
        <w:t>inviting</w:t>
      </w:r>
      <w:r>
        <w:rPr>
          <w:rFonts w:ascii="Aptos" w:hAnsi="Aptos" w:cs="Times New Roman"/>
          <w:sz w:val="24"/>
          <w:szCs w:val="24"/>
        </w:rPr>
        <w:t xml:space="preserve"> </w:t>
      </w:r>
      <w:r w:rsidRPr="00440463">
        <w:rPr>
          <w:rFonts w:ascii="Aptos" w:hAnsi="Aptos" w:cs="Times New Roman"/>
          <w:sz w:val="24"/>
          <w:szCs w:val="24"/>
        </w:rPr>
        <w:t>Expression</w:t>
      </w:r>
      <w:r>
        <w:rPr>
          <w:rFonts w:ascii="Aptos" w:hAnsi="Aptos" w:cs="Times New Roman"/>
          <w:sz w:val="24"/>
          <w:szCs w:val="24"/>
        </w:rPr>
        <w:t>s</w:t>
      </w:r>
      <w:r w:rsidRPr="00440463">
        <w:rPr>
          <w:rFonts w:ascii="Aptos" w:hAnsi="Aptos" w:cs="Times New Roman"/>
          <w:sz w:val="24"/>
          <w:szCs w:val="24"/>
        </w:rPr>
        <w:t xml:space="preserve"> of Interest</w:t>
      </w:r>
      <w:r w:rsidRPr="0094266B">
        <w:rPr>
          <w:rFonts w:ascii="Aptos" w:hAnsi="Aptos" w:cs="Times New Roman"/>
          <w:sz w:val="24"/>
          <w:szCs w:val="24"/>
        </w:rPr>
        <w:t xml:space="preserve"> </w:t>
      </w:r>
      <w:r>
        <w:rPr>
          <w:rFonts w:ascii="Aptos" w:hAnsi="Aptos" w:cs="Times New Roman"/>
          <w:sz w:val="24"/>
          <w:szCs w:val="24"/>
        </w:rPr>
        <w:t>(</w:t>
      </w:r>
      <w:r w:rsidRPr="0094266B">
        <w:rPr>
          <w:rFonts w:ascii="Aptos" w:hAnsi="Aptos" w:cs="Times New Roman"/>
          <w:sz w:val="24"/>
          <w:szCs w:val="24"/>
        </w:rPr>
        <w:t>E</w:t>
      </w:r>
      <w:r>
        <w:rPr>
          <w:rFonts w:ascii="Aptos" w:hAnsi="Aptos" w:cs="Times New Roman"/>
          <w:sz w:val="24"/>
          <w:szCs w:val="24"/>
        </w:rPr>
        <w:t>O</w:t>
      </w:r>
      <w:r w:rsidRPr="0094266B">
        <w:rPr>
          <w:rFonts w:ascii="Aptos" w:hAnsi="Aptos" w:cs="Times New Roman"/>
          <w:sz w:val="24"/>
          <w:szCs w:val="24"/>
        </w:rPr>
        <w:t>Is</w:t>
      </w:r>
      <w:r>
        <w:rPr>
          <w:rFonts w:ascii="Aptos" w:hAnsi="Aptos" w:cs="Times New Roman"/>
          <w:sz w:val="24"/>
          <w:szCs w:val="24"/>
        </w:rPr>
        <w:t>)</w:t>
      </w:r>
      <w:r w:rsidRPr="0094266B">
        <w:rPr>
          <w:rFonts w:ascii="Aptos" w:hAnsi="Aptos" w:cs="Times New Roman"/>
          <w:sz w:val="24"/>
          <w:szCs w:val="24"/>
        </w:rPr>
        <w:t xml:space="preserve"> for those interested in applying for an MSCA P</w:t>
      </w:r>
      <w:r>
        <w:rPr>
          <w:rFonts w:ascii="Aptos" w:hAnsi="Aptos" w:cs="Times New Roman"/>
          <w:sz w:val="24"/>
          <w:szCs w:val="24"/>
        </w:rPr>
        <w:t xml:space="preserve">ostdoctoral </w:t>
      </w:r>
      <w:r w:rsidRPr="0094266B">
        <w:rPr>
          <w:rFonts w:ascii="Aptos" w:hAnsi="Aptos" w:cs="Times New Roman"/>
          <w:sz w:val="24"/>
          <w:szCs w:val="24"/>
        </w:rPr>
        <w:t>F</w:t>
      </w:r>
      <w:r>
        <w:rPr>
          <w:rFonts w:ascii="Aptos" w:hAnsi="Aptos" w:cs="Times New Roman"/>
          <w:sz w:val="24"/>
          <w:szCs w:val="24"/>
        </w:rPr>
        <w:t>ellowship</w:t>
      </w:r>
      <w:r w:rsidRPr="0094266B">
        <w:rPr>
          <w:rFonts w:ascii="Aptos" w:hAnsi="Aptos" w:cs="Times New Roman"/>
          <w:sz w:val="24"/>
          <w:szCs w:val="24"/>
        </w:rPr>
        <w:t xml:space="preserve"> with</w:t>
      </w:r>
      <w:r>
        <w:rPr>
          <w:rFonts w:ascii="Aptos" w:hAnsi="Aptos" w:cs="Times New Roman"/>
          <w:sz w:val="24"/>
          <w:szCs w:val="24"/>
        </w:rPr>
        <w:t xml:space="preserve"> the University of</w:t>
      </w:r>
      <w:r w:rsidRPr="0094266B">
        <w:rPr>
          <w:rFonts w:ascii="Aptos" w:hAnsi="Aptos" w:cs="Times New Roman"/>
          <w:sz w:val="24"/>
          <w:szCs w:val="24"/>
        </w:rPr>
        <w:t xml:space="preserve"> Strath</w:t>
      </w:r>
      <w:r>
        <w:rPr>
          <w:rFonts w:ascii="Aptos" w:hAnsi="Aptos" w:cs="Times New Roman"/>
          <w:sz w:val="24"/>
          <w:szCs w:val="24"/>
        </w:rPr>
        <w:t xml:space="preserve">clyde. </w:t>
      </w:r>
      <w:r w:rsidRPr="00440463">
        <w:rPr>
          <w:rFonts w:ascii="Aptos" w:hAnsi="Aptos" w:cs="Times New Roman"/>
          <w:sz w:val="24"/>
          <w:szCs w:val="24"/>
        </w:rPr>
        <w:t xml:space="preserve">This internal EOI process is designed to identify and match outstanding postdoctoral researchers with </w:t>
      </w:r>
      <w:r>
        <w:rPr>
          <w:rFonts w:ascii="Aptos" w:hAnsi="Aptos" w:cs="Times New Roman"/>
          <w:sz w:val="24"/>
          <w:szCs w:val="24"/>
        </w:rPr>
        <w:t xml:space="preserve">suitable </w:t>
      </w:r>
      <w:proofErr w:type="spellStart"/>
      <w:r>
        <w:rPr>
          <w:rFonts w:ascii="Aptos" w:hAnsi="Aptos" w:cs="Times New Roman"/>
          <w:sz w:val="24"/>
          <w:szCs w:val="24"/>
        </w:rPr>
        <w:t>Stratclyde</w:t>
      </w:r>
      <w:proofErr w:type="spellEnd"/>
      <w:r w:rsidRPr="00440463">
        <w:rPr>
          <w:rFonts w:ascii="Aptos" w:hAnsi="Aptos" w:cs="Times New Roman"/>
          <w:sz w:val="24"/>
          <w:szCs w:val="24"/>
        </w:rPr>
        <w:t xml:space="preserve"> academic supervisors for the 2026 MSCA Postdoctoral Fellowships (European and Global).</w:t>
      </w:r>
    </w:p>
    <w:p w14:paraId="387E1E84" w14:textId="77777777" w:rsidR="00264E61" w:rsidRDefault="00264E61" w:rsidP="00264E61">
      <w:pPr>
        <w:spacing w:after="0"/>
        <w:rPr>
          <w:rFonts w:ascii="Aptos" w:hAnsi="Aptos" w:cs="Times New Roman"/>
          <w:sz w:val="24"/>
          <w:szCs w:val="24"/>
        </w:rPr>
      </w:pPr>
    </w:p>
    <w:p w14:paraId="596592E1" w14:textId="77777777" w:rsidR="00264E61" w:rsidRPr="00440463" w:rsidRDefault="00264E61" w:rsidP="00264E61">
      <w:pPr>
        <w:spacing w:after="0"/>
        <w:rPr>
          <w:rFonts w:ascii="Aptos" w:hAnsi="Aptos" w:cs="Times New Roman"/>
          <w:sz w:val="24"/>
          <w:szCs w:val="24"/>
        </w:rPr>
      </w:pPr>
      <w:r w:rsidRPr="00440463">
        <w:rPr>
          <w:rFonts w:ascii="Aptos" w:hAnsi="Aptos" w:cs="Times New Roman"/>
          <w:sz w:val="24"/>
          <w:szCs w:val="24"/>
        </w:rPr>
        <w:t>The primary purpose of this process is supervisor matching and strategic alignment. All submitted EOIs will be reviewed by relevant Faculty research leadership teams to determine: (a) suitability for supervision within Strathclyde; (b) alignment with identified research areas; and (c) competitiveness for progression to full proposal development.</w:t>
      </w:r>
    </w:p>
    <w:p w14:paraId="28C0B548" w14:textId="77777777" w:rsidR="00264E61" w:rsidRDefault="00264E61" w:rsidP="00264E61">
      <w:pPr>
        <w:spacing w:after="0"/>
        <w:rPr>
          <w:rFonts w:ascii="Aptos" w:hAnsi="Aptos" w:cs="Times New Roman"/>
          <w:sz w:val="24"/>
          <w:szCs w:val="24"/>
        </w:rPr>
      </w:pPr>
    </w:p>
    <w:p w14:paraId="03F74215" w14:textId="77777777" w:rsidR="00264E61" w:rsidRDefault="00264E61" w:rsidP="00264E61">
      <w:pPr>
        <w:spacing w:after="0"/>
        <w:rPr>
          <w:rFonts w:ascii="Aptos" w:hAnsi="Aptos" w:cs="Times New Roman"/>
          <w:sz w:val="24"/>
          <w:szCs w:val="24"/>
        </w:rPr>
      </w:pPr>
      <w:r w:rsidRPr="00440463">
        <w:rPr>
          <w:rFonts w:ascii="Aptos" w:hAnsi="Aptos" w:cs="Times New Roman"/>
          <w:sz w:val="24"/>
          <w:szCs w:val="24"/>
        </w:rPr>
        <w:t>A limited number of candidates will be shortlisted and formally matched with a Strathclyde supervisor. Shortlisted applicants will then receive structured institutional support to develop a competitive MSCA proposal.</w:t>
      </w:r>
    </w:p>
    <w:p w14:paraId="3FAED893" w14:textId="77777777" w:rsidR="00264E61" w:rsidRDefault="00264E61" w:rsidP="00264E61">
      <w:pPr>
        <w:spacing w:after="0"/>
        <w:rPr>
          <w:rFonts w:ascii="Aptos" w:hAnsi="Aptos" w:cs="Times New Roman"/>
          <w:sz w:val="24"/>
          <w:szCs w:val="24"/>
        </w:rPr>
      </w:pPr>
    </w:p>
    <w:p w14:paraId="31B75B0A" w14:textId="11346F51" w:rsidR="00264E61" w:rsidRDefault="00264E61" w:rsidP="00264E61">
      <w:pPr>
        <w:spacing w:after="0"/>
        <w:rPr>
          <w:rFonts w:ascii="Aptos" w:hAnsi="Aptos" w:cs="Times New Roman"/>
          <w:sz w:val="24"/>
          <w:szCs w:val="24"/>
        </w:rPr>
      </w:pPr>
      <w:r w:rsidRPr="00440463">
        <w:rPr>
          <w:rFonts w:ascii="Aptos" w:hAnsi="Aptos" w:cs="Times New Roman"/>
          <w:sz w:val="24"/>
          <w:szCs w:val="24"/>
        </w:rPr>
        <w:t>Following the EOI deadline</w:t>
      </w:r>
      <w:r>
        <w:rPr>
          <w:rFonts w:ascii="Aptos" w:hAnsi="Aptos" w:cs="Times New Roman"/>
          <w:sz w:val="24"/>
          <w:szCs w:val="24"/>
        </w:rPr>
        <w:t xml:space="preserve"> on </w:t>
      </w:r>
      <w:r w:rsidRPr="00227AE1">
        <w:rPr>
          <w:rFonts w:ascii="Aptos" w:hAnsi="Aptos" w:cs="Times New Roman"/>
          <w:b/>
          <w:bCs/>
          <w:sz w:val="24"/>
          <w:szCs w:val="24"/>
        </w:rPr>
        <w:t>T</w:t>
      </w:r>
      <w:r w:rsidR="00C90656">
        <w:rPr>
          <w:rFonts w:ascii="Aptos" w:hAnsi="Aptos" w:cs="Times New Roman"/>
          <w:b/>
          <w:bCs/>
          <w:sz w:val="24"/>
          <w:szCs w:val="24"/>
        </w:rPr>
        <w:t>hurs</w:t>
      </w:r>
      <w:r w:rsidRPr="00227AE1">
        <w:rPr>
          <w:rFonts w:ascii="Aptos" w:hAnsi="Aptos" w:cs="Times New Roman"/>
          <w:b/>
          <w:bCs/>
          <w:sz w:val="24"/>
          <w:szCs w:val="24"/>
        </w:rPr>
        <w:t xml:space="preserve">day </w:t>
      </w:r>
      <w:r w:rsidR="00C90656">
        <w:rPr>
          <w:rFonts w:ascii="Aptos" w:hAnsi="Aptos" w:cs="Times New Roman"/>
          <w:b/>
          <w:bCs/>
          <w:sz w:val="24"/>
          <w:szCs w:val="24"/>
        </w:rPr>
        <w:t>16</w:t>
      </w:r>
      <w:r w:rsidRPr="00227AE1">
        <w:rPr>
          <w:rFonts w:ascii="Aptos" w:hAnsi="Aptos" w:cs="Times New Roman"/>
          <w:b/>
          <w:bCs/>
          <w:sz w:val="24"/>
          <w:szCs w:val="24"/>
        </w:rPr>
        <w:t xml:space="preserve"> </w:t>
      </w:r>
      <w:r w:rsidR="00C90656">
        <w:rPr>
          <w:rFonts w:ascii="Aptos" w:hAnsi="Aptos" w:cs="Times New Roman"/>
          <w:b/>
          <w:bCs/>
          <w:sz w:val="24"/>
          <w:szCs w:val="24"/>
        </w:rPr>
        <w:t>April</w:t>
      </w:r>
      <w:r w:rsidRPr="00227AE1">
        <w:rPr>
          <w:rFonts w:ascii="Aptos" w:hAnsi="Aptos" w:cs="Times New Roman"/>
          <w:b/>
          <w:bCs/>
          <w:sz w:val="24"/>
          <w:szCs w:val="24"/>
        </w:rPr>
        <w:t xml:space="preserve"> 2026</w:t>
      </w:r>
      <w:r w:rsidRPr="00440463">
        <w:rPr>
          <w:rFonts w:ascii="Aptos" w:hAnsi="Aptos" w:cs="Times New Roman"/>
          <w:sz w:val="24"/>
          <w:szCs w:val="24"/>
        </w:rPr>
        <w:t>, submissions will be shared with relevant Departments and Faculties. Where strong thematic alignment is identified, potential supervisors will be consulted. Matching decisions will consider research complementarity, supervisory capacity, interdisciplinary potential, and alignment with Strathclyde’s strategic research priorities.</w:t>
      </w:r>
    </w:p>
    <w:p w14:paraId="622C6E17" w14:textId="77777777" w:rsidR="00264E61" w:rsidRDefault="00264E61" w:rsidP="00264E61">
      <w:pPr>
        <w:spacing w:after="0"/>
        <w:rPr>
          <w:rFonts w:ascii="Aptos" w:hAnsi="Aptos" w:cs="Times New Roman"/>
          <w:sz w:val="24"/>
          <w:szCs w:val="24"/>
        </w:rPr>
      </w:pPr>
    </w:p>
    <w:p w14:paraId="5D8851EE" w14:textId="77777777" w:rsidR="00264E61" w:rsidRPr="00440463" w:rsidRDefault="00264E61" w:rsidP="00264E61">
      <w:pPr>
        <w:spacing w:after="0"/>
        <w:rPr>
          <w:rFonts w:ascii="Aptos" w:hAnsi="Aptos" w:cs="Times New Roman"/>
          <w:sz w:val="24"/>
          <w:szCs w:val="24"/>
        </w:rPr>
      </w:pPr>
      <w:r w:rsidRPr="00227AE1">
        <w:rPr>
          <w:rFonts w:ascii="Aptos" w:hAnsi="Aptos" w:cs="Times New Roman"/>
          <w:sz w:val="24"/>
          <w:szCs w:val="24"/>
          <w:u w:val="single"/>
        </w:rPr>
        <w:t>If applicants have already secured agreement from a Strathclyde supervisor, they do not have to go through this EOI process</w:t>
      </w:r>
      <w:r w:rsidRPr="00440463">
        <w:rPr>
          <w:rFonts w:ascii="Aptos" w:hAnsi="Aptos" w:cs="Times New Roman"/>
          <w:sz w:val="24"/>
          <w:szCs w:val="24"/>
        </w:rPr>
        <w:t xml:space="preserve">. </w:t>
      </w:r>
    </w:p>
    <w:p w14:paraId="51BBEEAD" w14:textId="77777777" w:rsidR="00264E61" w:rsidRDefault="00264E61" w:rsidP="00264E61">
      <w:pPr>
        <w:spacing w:after="0"/>
        <w:rPr>
          <w:rFonts w:ascii="Aptos" w:hAnsi="Aptos" w:cs="Times New Roman"/>
          <w:sz w:val="24"/>
          <w:szCs w:val="24"/>
        </w:rPr>
      </w:pPr>
    </w:p>
    <w:p w14:paraId="31C04D2C" w14:textId="0DDD194A" w:rsidR="00264E61" w:rsidRPr="00440463" w:rsidRDefault="00264E61" w:rsidP="00264E61">
      <w:pPr>
        <w:spacing w:after="0"/>
        <w:rPr>
          <w:rFonts w:ascii="Aptos" w:hAnsi="Aptos" w:cs="Times New Roman"/>
          <w:sz w:val="24"/>
          <w:szCs w:val="24"/>
        </w:rPr>
      </w:pPr>
      <w:r w:rsidRPr="00440463">
        <w:rPr>
          <w:rFonts w:ascii="Aptos" w:hAnsi="Aptos" w:cs="Times New Roman"/>
          <w:sz w:val="24"/>
          <w:szCs w:val="24"/>
        </w:rPr>
        <w:t>Completed EOIs must be submitted to the RKES International Team at rkes-international@strath.ac.uk by</w:t>
      </w:r>
      <w:r w:rsidR="00C90656">
        <w:rPr>
          <w:rFonts w:ascii="Aptos" w:hAnsi="Aptos" w:cs="Times New Roman"/>
          <w:sz w:val="24"/>
          <w:szCs w:val="24"/>
        </w:rPr>
        <w:t xml:space="preserve"> </w:t>
      </w:r>
      <w:r w:rsidR="00C90656" w:rsidRPr="00C90656">
        <w:rPr>
          <w:rFonts w:ascii="Aptos" w:hAnsi="Aptos" w:cs="Times New Roman"/>
          <w:b/>
          <w:bCs/>
          <w:sz w:val="24"/>
          <w:szCs w:val="24"/>
        </w:rPr>
        <w:t>16</w:t>
      </w:r>
      <w:r w:rsidRPr="00227AE1">
        <w:rPr>
          <w:rFonts w:ascii="Aptos" w:hAnsi="Aptos" w:cs="Times New Roman"/>
          <w:b/>
          <w:bCs/>
          <w:sz w:val="24"/>
          <w:szCs w:val="24"/>
        </w:rPr>
        <w:t xml:space="preserve"> </w:t>
      </w:r>
      <w:r w:rsidR="00C90656">
        <w:rPr>
          <w:rFonts w:ascii="Aptos" w:hAnsi="Aptos" w:cs="Times New Roman"/>
          <w:b/>
          <w:bCs/>
          <w:sz w:val="24"/>
          <w:szCs w:val="24"/>
        </w:rPr>
        <w:t>April</w:t>
      </w:r>
      <w:r w:rsidRPr="00227AE1">
        <w:rPr>
          <w:rFonts w:ascii="Aptos" w:hAnsi="Aptos" w:cs="Times New Roman"/>
          <w:b/>
          <w:bCs/>
          <w:sz w:val="24"/>
          <w:szCs w:val="24"/>
        </w:rPr>
        <w:t xml:space="preserve"> 2026</w:t>
      </w:r>
      <w:r w:rsidRPr="00440463">
        <w:rPr>
          <w:rFonts w:ascii="Aptos" w:hAnsi="Aptos" w:cs="Times New Roman"/>
          <w:sz w:val="24"/>
          <w:szCs w:val="24"/>
        </w:rPr>
        <w:t>.</w:t>
      </w:r>
    </w:p>
    <w:p w14:paraId="395D6129" w14:textId="4C7129C6" w:rsidR="00264E61" w:rsidRPr="00440463" w:rsidRDefault="00264E61" w:rsidP="00264E61">
      <w:pPr>
        <w:spacing w:after="0"/>
        <w:rPr>
          <w:rFonts w:ascii="Aptos" w:hAnsi="Aptos" w:cs="Times New Roman"/>
          <w:sz w:val="24"/>
          <w:szCs w:val="24"/>
        </w:rPr>
      </w:pPr>
      <w:r w:rsidRPr="00440463">
        <w:rPr>
          <w:rFonts w:ascii="Aptos" w:hAnsi="Aptos" w:cs="Times New Roman"/>
          <w:sz w:val="24"/>
          <w:szCs w:val="24"/>
        </w:rPr>
        <w:t xml:space="preserve">Shortlisted candidates will be notified w/c </w:t>
      </w:r>
      <w:r w:rsidR="00C90656">
        <w:rPr>
          <w:rFonts w:ascii="Aptos" w:hAnsi="Aptos" w:cs="Times New Roman"/>
          <w:sz w:val="24"/>
          <w:szCs w:val="24"/>
        </w:rPr>
        <w:t>11</w:t>
      </w:r>
      <w:r w:rsidRPr="00440463">
        <w:rPr>
          <w:rFonts w:ascii="Aptos" w:hAnsi="Aptos" w:cs="Times New Roman"/>
          <w:sz w:val="24"/>
          <w:szCs w:val="24"/>
        </w:rPr>
        <w:t xml:space="preserve"> </w:t>
      </w:r>
      <w:r w:rsidR="00C90656">
        <w:rPr>
          <w:rFonts w:ascii="Aptos" w:hAnsi="Aptos" w:cs="Times New Roman"/>
          <w:sz w:val="24"/>
          <w:szCs w:val="24"/>
        </w:rPr>
        <w:t>May</w:t>
      </w:r>
      <w:r w:rsidRPr="00440463">
        <w:rPr>
          <w:rFonts w:ascii="Aptos" w:hAnsi="Aptos" w:cs="Times New Roman"/>
          <w:sz w:val="24"/>
          <w:szCs w:val="24"/>
        </w:rPr>
        <w:t xml:space="preserve"> 2026 and invited to participate in structured proposal development </w:t>
      </w:r>
      <w:r>
        <w:rPr>
          <w:rFonts w:ascii="Aptos" w:hAnsi="Aptos" w:cs="Times New Roman"/>
          <w:sz w:val="24"/>
          <w:szCs w:val="24"/>
        </w:rPr>
        <w:t>support</w:t>
      </w:r>
      <w:r w:rsidRPr="00440463">
        <w:rPr>
          <w:rFonts w:ascii="Aptos" w:hAnsi="Aptos" w:cs="Times New Roman"/>
          <w:sz w:val="24"/>
          <w:szCs w:val="24"/>
        </w:rPr>
        <w:t>.</w:t>
      </w:r>
    </w:p>
    <w:p w14:paraId="4E652302" w14:textId="77777777" w:rsidR="00264E61" w:rsidRPr="00440463" w:rsidRDefault="00264E61" w:rsidP="00264E61">
      <w:pPr>
        <w:spacing w:after="0"/>
        <w:rPr>
          <w:rFonts w:ascii="Aptos" w:hAnsi="Aptos" w:cs="Times New Roman"/>
          <w:sz w:val="24"/>
          <w:szCs w:val="24"/>
        </w:rPr>
      </w:pPr>
    </w:p>
    <w:p w14:paraId="18FCD7A6" w14:textId="77777777" w:rsidR="00264E61" w:rsidRPr="00440463" w:rsidRDefault="00264E61" w:rsidP="00264E61">
      <w:pPr>
        <w:spacing w:after="0"/>
        <w:rPr>
          <w:rFonts w:ascii="Aptos" w:hAnsi="Aptos" w:cs="Times New Roman"/>
          <w:sz w:val="24"/>
          <w:szCs w:val="24"/>
        </w:rPr>
      </w:pPr>
    </w:p>
    <w:p w14:paraId="36E9BF91" w14:textId="77777777" w:rsidR="00264E61" w:rsidRDefault="00264E61" w:rsidP="00264E61">
      <w:pPr>
        <w:spacing w:after="0"/>
        <w:rPr>
          <w:rFonts w:ascii="Aptos" w:hAnsi="Aptos" w:cs="Times New Roman"/>
          <w:sz w:val="24"/>
          <w:szCs w:val="24"/>
        </w:rPr>
      </w:pPr>
    </w:p>
    <w:p w14:paraId="4066E35C" w14:textId="77777777" w:rsidR="00264E61" w:rsidRDefault="00264E61" w:rsidP="00264E61">
      <w:pPr>
        <w:spacing w:after="0"/>
        <w:rPr>
          <w:rFonts w:ascii="Aptos" w:hAnsi="Aptos" w:cs="Times New Roman"/>
          <w:sz w:val="24"/>
          <w:szCs w:val="24"/>
        </w:rPr>
      </w:pPr>
    </w:p>
    <w:p w14:paraId="462D176A" w14:textId="77777777" w:rsidR="00264E61" w:rsidRPr="00F149C4" w:rsidRDefault="00264E61" w:rsidP="00F149C4">
      <w:pPr>
        <w:pStyle w:val="Heading2"/>
      </w:pPr>
      <w:r w:rsidRPr="00F149C4">
        <w:t>1. Personal information</w:t>
      </w:r>
    </w:p>
    <w:p w14:paraId="4AE812ED" w14:textId="77777777" w:rsidR="00264E61" w:rsidRDefault="00264E61" w:rsidP="00264E61">
      <w:pPr>
        <w:spacing w:after="0"/>
        <w:rPr>
          <w:rFonts w:ascii="Aptos" w:hAnsi="Aptos" w:cs="Times New Roman"/>
          <w:sz w:val="24"/>
          <w:szCs w:val="24"/>
        </w:rPr>
      </w:pPr>
    </w:p>
    <w:p w14:paraId="442AEAA2" w14:textId="77777777" w:rsidR="00264E61" w:rsidRPr="0090205E" w:rsidRDefault="00264E61" w:rsidP="00264E61">
      <w:pPr>
        <w:spacing w:after="0"/>
        <w:rPr>
          <w:rFonts w:ascii="Aptos" w:hAnsi="Aptos" w:cs="Times New Roman"/>
          <w:b/>
          <w:bCs/>
          <w:sz w:val="24"/>
          <w:szCs w:val="24"/>
        </w:rPr>
      </w:pPr>
      <w:r w:rsidRPr="0090205E">
        <w:rPr>
          <w:rFonts w:ascii="Aptos" w:hAnsi="Aptos" w:cs="Times New Roman"/>
          <w:b/>
          <w:bCs/>
          <w:sz w:val="24"/>
          <w:szCs w:val="24"/>
        </w:rPr>
        <w:t>Name of the Fellow:</w:t>
      </w:r>
    </w:p>
    <w:p w14:paraId="3D782F34" w14:textId="77777777" w:rsidR="00264E61" w:rsidRDefault="00264E61" w:rsidP="00264E61">
      <w:pPr>
        <w:spacing w:after="0"/>
        <w:rPr>
          <w:rFonts w:ascii="Aptos" w:hAnsi="Aptos" w:cs="Times New Roman"/>
          <w:b/>
          <w:bCs/>
          <w:sz w:val="24"/>
          <w:szCs w:val="24"/>
        </w:rPr>
      </w:pPr>
      <w:r w:rsidRPr="0090205E">
        <w:rPr>
          <w:rFonts w:ascii="Aptos" w:hAnsi="Aptos" w:cs="Times New Roman"/>
          <w:b/>
          <w:bCs/>
          <w:sz w:val="24"/>
          <w:szCs w:val="24"/>
        </w:rPr>
        <w:t>Email:</w:t>
      </w:r>
    </w:p>
    <w:p w14:paraId="46B7BC60" w14:textId="77777777" w:rsidR="00264E61" w:rsidRPr="0051487D" w:rsidRDefault="00264E61" w:rsidP="00264E61">
      <w:pPr>
        <w:spacing w:after="0"/>
        <w:rPr>
          <w:rFonts w:ascii="Aptos" w:hAnsi="Aptos" w:cs="Times New Roman"/>
          <w:b/>
          <w:bCs/>
          <w:sz w:val="24"/>
          <w:szCs w:val="24"/>
        </w:rPr>
      </w:pPr>
      <w:r>
        <w:rPr>
          <w:rFonts w:ascii="Aptos" w:hAnsi="Aptos" w:cs="Times New Roman"/>
          <w:b/>
          <w:bCs/>
          <w:sz w:val="24"/>
          <w:szCs w:val="24"/>
        </w:rPr>
        <w:t xml:space="preserve">Nationality </w:t>
      </w:r>
      <w:r w:rsidRPr="0051487D">
        <w:rPr>
          <w:rFonts w:ascii="Aptos" w:hAnsi="Aptos" w:cs="Times New Roman"/>
          <w:sz w:val="24"/>
          <w:szCs w:val="24"/>
        </w:rPr>
        <w:t xml:space="preserve">(please note that for the Global Fellowships, </w:t>
      </w:r>
      <w:r w:rsidRPr="0051487D">
        <w:rPr>
          <w:rFonts w:ascii="Aptos" w:hAnsi="Aptos" w:cs="Calibri"/>
          <w:sz w:val="24"/>
          <w:szCs w:val="24"/>
        </w:rPr>
        <w:t>only candidates who are nationals or long-term residents</w:t>
      </w:r>
      <w:r>
        <w:rPr>
          <w:rFonts w:ascii="Aptos" w:hAnsi="Aptos" w:cs="Calibri"/>
          <w:sz w:val="24"/>
          <w:szCs w:val="24"/>
        </w:rPr>
        <w:t xml:space="preserve"> for at least 5 consecutive years</w:t>
      </w:r>
      <w:r w:rsidRPr="0051487D">
        <w:rPr>
          <w:rFonts w:ascii="Aptos" w:hAnsi="Aptos" w:cs="Calibri"/>
          <w:sz w:val="24"/>
          <w:szCs w:val="24"/>
        </w:rPr>
        <w:t xml:space="preserve"> of an EU Member State or Associated Country are eligible to apply to this scheme</w:t>
      </w:r>
      <w:r w:rsidRPr="0051487D">
        <w:rPr>
          <w:rFonts w:ascii="Aptos" w:hAnsi="Aptos" w:cs="Times New Roman"/>
          <w:sz w:val="24"/>
          <w:szCs w:val="24"/>
        </w:rPr>
        <w:t>):</w:t>
      </w:r>
    </w:p>
    <w:p w14:paraId="11C28A97" w14:textId="77777777" w:rsidR="00264E61" w:rsidRPr="00F149C4" w:rsidRDefault="00264E61" w:rsidP="00F149C4">
      <w:pPr>
        <w:pStyle w:val="Heading2"/>
      </w:pPr>
    </w:p>
    <w:p w14:paraId="6F4B82EB" w14:textId="77777777" w:rsidR="00264E61" w:rsidRPr="00F149C4" w:rsidRDefault="00264E61" w:rsidP="00F149C4">
      <w:pPr>
        <w:pStyle w:val="Heading2"/>
      </w:pPr>
      <w:r w:rsidRPr="00F149C4">
        <w:t>2. Mandatory Applicant Declarations</w:t>
      </w:r>
    </w:p>
    <w:p w14:paraId="3EEA56D3" w14:textId="77777777" w:rsidR="00264E61" w:rsidRDefault="00264E61" w:rsidP="00264E61">
      <w:pPr>
        <w:spacing w:after="0"/>
        <w:rPr>
          <w:rFonts w:ascii="Aptos" w:hAnsi="Aptos" w:cs="Times New Roman"/>
          <w:sz w:val="24"/>
          <w:szCs w:val="24"/>
        </w:rPr>
      </w:pPr>
      <w:r w:rsidRPr="00440463">
        <w:rPr>
          <w:rFonts w:ascii="Aptos" w:hAnsi="Aptos" w:cs="Times New Roman"/>
          <w:sz w:val="24"/>
          <w:szCs w:val="24"/>
        </w:rPr>
        <w:t>Applicants MUST complete ALL sections below. Applications that do not clearly provide this information will not be considered for supervisor matching.</w:t>
      </w:r>
    </w:p>
    <w:p w14:paraId="3F11B465" w14:textId="77777777" w:rsidR="00264E61" w:rsidRPr="00440463" w:rsidRDefault="00264E61" w:rsidP="00264E61">
      <w:pPr>
        <w:spacing w:after="0"/>
        <w:rPr>
          <w:rFonts w:ascii="Aptos" w:hAnsi="Aptos" w:cs="Times New Roman"/>
          <w:sz w:val="24"/>
          <w:szCs w:val="24"/>
        </w:rPr>
      </w:pPr>
    </w:p>
    <w:tbl>
      <w:tblPr>
        <w:tblW w:w="0" w:type="auto"/>
        <w:jc w:val="center"/>
        <w:tblLook w:val="04A0" w:firstRow="1" w:lastRow="0" w:firstColumn="1" w:lastColumn="0" w:noHBand="0" w:noVBand="1"/>
      </w:tblPr>
      <w:tblGrid>
        <w:gridCol w:w="9633"/>
      </w:tblGrid>
      <w:tr w:rsidR="00264E61" w:rsidRPr="00440463" w14:paraId="7CC646DD" w14:textId="77777777" w:rsidTr="00C7447E">
        <w:trPr>
          <w:jc w:val="center"/>
        </w:trPr>
        <w:tc>
          <w:tcPr>
            <w:tcW w:w="9633" w:type="dxa"/>
            <w:shd w:val="clear" w:color="auto" w:fill="EDEDED"/>
            <w:hideMark/>
          </w:tcPr>
          <w:p w14:paraId="25425511" w14:textId="77777777" w:rsidR="00264E61" w:rsidRPr="00440463" w:rsidRDefault="00264E61" w:rsidP="003674A3">
            <w:pPr>
              <w:spacing w:after="0"/>
              <w:rPr>
                <w:rFonts w:ascii="Aptos" w:hAnsi="Aptos" w:cs="Times New Roman"/>
                <w:b/>
                <w:bCs/>
                <w:sz w:val="24"/>
                <w:szCs w:val="24"/>
              </w:rPr>
            </w:pPr>
            <w:r w:rsidRPr="00440463">
              <w:rPr>
                <w:rFonts w:ascii="Aptos" w:hAnsi="Aptos" w:cs="Times New Roman"/>
                <w:b/>
                <w:bCs/>
                <w:sz w:val="24"/>
                <w:szCs w:val="24"/>
              </w:rPr>
              <w:t>FELLOWSHIP TYPE (MANDATORY)</w:t>
            </w:r>
          </w:p>
        </w:tc>
      </w:tr>
      <w:tr w:rsidR="00264E61" w:rsidRPr="00440463" w14:paraId="635F6F3B" w14:textId="77777777" w:rsidTr="00C7447E">
        <w:trPr>
          <w:jc w:val="center"/>
        </w:trPr>
        <w:tc>
          <w:tcPr>
            <w:tcW w:w="9633" w:type="dxa"/>
            <w:shd w:val="clear" w:color="auto" w:fill="EDEDED"/>
            <w:hideMark/>
          </w:tcPr>
          <w:p w14:paraId="5D997662" w14:textId="77777777" w:rsidR="00264E61" w:rsidRPr="00440463" w:rsidRDefault="00264E61" w:rsidP="003674A3">
            <w:pPr>
              <w:spacing w:after="0"/>
              <w:rPr>
                <w:rFonts w:ascii="Aptos" w:hAnsi="Aptos" w:cs="Times New Roman"/>
                <w:sz w:val="24"/>
                <w:szCs w:val="24"/>
              </w:rPr>
            </w:pPr>
            <w:r w:rsidRPr="00440463">
              <w:rPr>
                <w:rFonts w:ascii="Aptos" w:hAnsi="Aptos" w:cs="Times New Roman"/>
                <w:sz w:val="24"/>
                <w:szCs w:val="24"/>
              </w:rPr>
              <w:t>Indicate clearly which fellowship you intend to apply for:</w:t>
            </w:r>
            <w:r>
              <w:br/>
            </w:r>
            <w:r>
              <w:br/>
            </w:r>
            <w:sdt>
              <w:sdtPr>
                <w:rPr>
                  <w:rFonts w:ascii="Aptos" w:hAnsi="Aptos" w:cs="Times New Roman"/>
                  <w:sz w:val="24"/>
                  <w:szCs w:val="24"/>
                </w:rPr>
                <w:id w:val="-845637288"/>
                <w14:checkbox>
                  <w14:checked w14:val="0"/>
                  <w14:checkedState w14:val="2612" w14:font="MS Gothic"/>
                  <w14:uncheckedState w14:val="2610" w14:font="MS Gothic"/>
                </w14:checkbox>
              </w:sdtPr>
              <w:sdtEndPr/>
              <w:sdtContent>
                <w:r w:rsidRPr="7BE5E4DD">
                  <w:rPr>
                    <w:rFonts w:ascii="MS Gothic" w:eastAsia="MS Gothic" w:hAnsi="MS Gothic" w:cs="MS Gothic" w:hint="eastAsia"/>
                    <w:sz w:val="24"/>
                    <w:szCs w:val="24"/>
                  </w:rPr>
                  <w:t>☐</w:t>
                </w:r>
              </w:sdtContent>
            </w:sdt>
            <w:r w:rsidRPr="00440463">
              <w:rPr>
                <w:rFonts w:ascii="Aptos" w:hAnsi="Aptos" w:cs="Times New Roman"/>
                <w:sz w:val="24"/>
                <w:szCs w:val="24"/>
              </w:rPr>
              <w:t xml:space="preserve"> European Postdoctoral Fellowship (12–24 months, optional 6-month non-academic placement)</w:t>
            </w:r>
            <w:r>
              <w:br/>
            </w:r>
            <w:sdt>
              <w:sdtPr>
                <w:rPr>
                  <w:rFonts w:ascii="Aptos" w:hAnsi="Aptos" w:cs="Times New Roman"/>
                  <w:sz w:val="24"/>
                  <w:szCs w:val="24"/>
                </w:rPr>
                <w:id w:val="-13981953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440463">
              <w:rPr>
                <w:rFonts w:ascii="Aptos" w:hAnsi="Aptos" w:cs="Times New Roman"/>
                <w:sz w:val="24"/>
                <w:szCs w:val="24"/>
              </w:rPr>
              <w:t xml:space="preserve"> Global Postdoctoral Fellowship (24–36 months including mandatory 12-month return phase)</w:t>
            </w:r>
            <w:r>
              <w:br/>
            </w:r>
            <w:r>
              <w:br/>
            </w:r>
            <w:r w:rsidRPr="00440463">
              <w:rPr>
                <w:rFonts w:ascii="Aptos" w:hAnsi="Aptos" w:cs="Times New Roman"/>
                <w:sz w:val="24"/>
                <w:szCs w:val="24"/>
              </w:rPr>
              <w:t>You must select ONE option only.</w:t>
            </w:r>
          </w:p>
        </w:tc>
      </w:tr>
    </w:tbl>
    <w:p w14:paraId="5F3B1E45" w14:textId="77777777" w:rsidR="00264E61" w:rsidRPr="00440463" w:rsidRDefault="00264E61" w:rsidP="00264E61">
      <w:pPr>
        <w:spacing w:after="0"/>
        <w:rPr>
          <w:rFonts w:ascii="Aptos" w:hAnsi="Aptos" w:cs="Times New Roman"/>
          <w:sz w:val="24"/>
          <w:szCs w:val="24"/>
        </w:rPr>
      </w:pPr>
    </w:p>
    <w:tbl>
      <w:tblPr>
        <w:tblW w:w="0" w:type="auto"/>
        <w:jc w:val="center"/>
        <w:tblLook w:val="04A0" w:firstRow="1" w:lastRow="0" w:firstColumn="1" w:lastColumn="0" w:noHBand="0" w:noVBand="1"/>
      </w:tblPr>
      <w:tblGrid>
        <w:gridCol w:w="9633"/>
      </w:tblGrid>
      <w:tr w:rsidR="00264E61" w:rsidRPr="00440463" w14:paraId="34FE1DE5" w14:textId="77777777" w:rsidTr="00C7447E">
        <w:trPr>
          <w:jc w:val="center"/>
        </w:trPr>
        <w:tc>
          <w:tcPr>
            <w:tcW w:w="9633" w:type="dxa"/>
            <w:shd w:val="clear" w:color="auto" w:fill="EDEDED"/>
            <w:hideMark/>
          </w:tcPr>
          <w:p w14:paraId="7A053639" w14:textId="77777777" w:rsidR="00264E61" w:rsidRPr="00440463" w:rsidRDefault="00264E61" w:rsidP="003674A3">
            <w:pPr>
              <w:spacing w:after="0"/>
              <w:rPr>
                <w:rFonts w:ascii="Aptos" w:hAnsi="Aptos" w:cs="Times New Roman"/>
                <w:b/>
                <w:bCs/>
                <w:sz w:val="24"/>
                <w:szCs w:val="24"/>
              </w:rPr>
            </w:pPr>
            <w:r w:rsidRPr="00440463">
              <w:rPr>
                <w:rFonts w:ascii="Aptos" w:hAnsi="Aptos" w:cs="Times New Roman"/>
                <w:b/>
                <w:bCs/>
                <w:sz w:val="24"/>
                <w:szCs w:val="24"/>
              </w:rPr>
              <w:t>PROPOSED PROJECT DURATION (MANDATORY)</w:t>
            </w:r>
          </w:p>
        </w:tc>
      </w:tr>
      <w:tr w:rsidR="00264E61" w:rsidRPr="00440463" w14:paraId="418DC8AE" w14:textId="77777777" w:rsidTr="00C7447E">
        <w:trPr>
          <w:jc w:val="center"/>
        </w:trPr>
        <w:tc>
          <w:tcPr>
            <w:tcW w:w="9633" w:type="dxa"/>
            <w:shd w:val="clear" w:color="auto" w:fill="EDEDED"/>
            <w:hideMark/>
          </w:tcPr>
          <w:p w14:paraId="13CDB755" w14:textId="77777777" w:rsidR="00264E61" w:rsidRDefault="00264E61" w:rsidP="003674A3">
            <w:pPr>
              <w:spacing w:after="0"/>
              <w:rPr>
                <w:rFonts w:ascii="Aptos" w:hAnsi="Aptos" w:cs="Times New Roman"/>
                <w:sz w:val="24"/>
                <w:szCs w:val="24"/>
              </w:rPr>
            </w:pPr>
            <w:r w:rsidRPr="00440463">
              <w:rPr>
                <w:rFonts w:ascii="Aptos" w:hAnsi="Aptos" w:cs="Times New Roman"/>
                <w:sz w:val="24"/>
                <w:szCs w:val="24"/>
              </w:rPr>
              <w:t>State the total duration of your proposed fellowship in months.</w:t>
            </w:r>
            <w:r w:rsidRPr="00440463">
              <w:rPr>
                <w:rFonts w:ascii="Aptos" w:hAnsi="Aptos" w:cs="Times New Roman"/>
                <w:sz w:val="24"/>
                <w:szCs w:val="24"/>
              </w:rPr>
              <w:br/>
            </w:r>
            <w:r w:rsidRPr="00440463">
              <w:rPr>
                <w:rFonts w:ascii="Aptos" w:hAnsi="Aptos" w:cs="Times New Roman"/>
                <w:sz w:val="24"/>
                <w:szCs w:val="24"/>
              </w:rPr>
              <w:br/>
              <w:t>European Fellowship: 12–24 months.</w:t>
            </w:r>
            <w:r w:rsidRPr="00440463">
              <w:rPr>
                <w:rFonts w:ascii="Aptos" w:hAnsi="Aptos" w:cs="Times New Roman"/>
                <w:sz w:val="24"/>
                <w:szCs w:val="24"/>
              </w:rPr>
              <w:br/>
              <w:t>Global Fellowship: 24–36 months (including 12-month return phase).</w:t>
            </w:r>
            <w:r w:rsidRPr="00440463">
              <w:rPr>
                <w:rFonts w:ascii="Aptos" w:hAnsi="Aptos" w:cs="Times New Roman"/>
                <w:sz w:val="24"/>
                <w:szCs w:val="24"/>
              </w:rPr>
              <w:br/>
            </w:r>
            <w:r w:rsidRPr="00440463">
              <w:rPr>
                <w:rFonts w:ascii="Aptos" w:hAnsi="Aptos" w:cs="Times New Roman"/>
                <w:sz w:val="24"/>
                <w:szCs w:val="24"/>
              </w:rPr>
              <w:br/>
              <w:t>Proposed Duration: __________________ months</w:t>
            </w:r>
          </w:p>
          <w:p w14:paraId="55FEE2E3" w14:textId="77777777" w:rsidR="00264E61" w:rsidRDefault="00264E61" w:rsidP="003674A3">
            <w:pPr>
              <w:spacing w:after="0"/>
              <w:rPr>
                <w:rFonts w:ascii="Aptos" w:hAnsi="Aptos" w:cs="Times New Roman"/>
                <w:sz w:val="24"/>
                <w:szCs w:val="24"/>
              </w:rPr>
            </w:pPr>
          </w:p>
          <w:p w14:paraId="2E530258" w14:textId="77777777" w:rsidR="00264E61" w:rsidRPr="00440463" w:rsidRDefault="00264E61" w:rsidP="003674A3">
            <w:pPr>
              <w:spacing w:after="0"/>
              <w:rPr>
                <w:rFonts w:ascii="Aptos" w:hAnsi="Aptos" w:cs="Times New Roman"/>
                <w:sz w:val="24"/>
                <w:szCs w:val="24"/>
              </w:rPr>
            </w:pPr>
            <w:r>
              <w:rPr>
                <w:rFonts w:ascii="Aptos" w:hAnsi="Aptos" w:cs="Times New Roman"/>
                <w:sz w:val="24"/>
                <w:szCs w:val="24"/>
              </w:rPr>
              <w:t>Please note that both European and Global</w:t>
            </w:r>
            <w:r w:rsidRPr="00EF1654">
              <w:rPr>
                <w:rFonts w:ascii="Aptos" w:hAnsi="Aptos" w:cs="Times New Roman"/>
                <w:sz w:val="24"/>
                <w:szCs w:val="24"/>
              </w:rPr>
              <w:t xml:space="preserve"> fellowship</w:t>
            </w:r>
            <w:r>
              <w:rPr>
                <w:rFonts w:ascii="Aptos" w:hAnsi="Aptos" w:cs="Times New Roman"/>
                <w:sz w:val="24"/>
                <w:szCs w:val="24"/>
              </w:rPr>
              <w:t>s</w:t>
            </w:r>
            <w:r w:rsidRPr="00EF1654">
              <w:rPr>
                <w:rFonts w:ascii="Aptos" w:hAnsi="Aptos" w:cs="Times New Roman"/>
                <w:sz w:val="24"/>
                <w:szCs w:val="24"/>
              </w:rPr>
              <w:t xml:space="preserve"> can be extended by 6 month</w:t>
            </w:r>
            <w:r>
              <w:rPr>
                <w:rFonts w:ascii="Aptos" w:hAnsi="Aptos" w:cs="Times New Roman"/>
                <w:sz w:val="24"/>
                <w:szCs w:val="24"/>
              </w:rPr>
              <w:t>s</w:t>
            </w:r>
            <w:r w:rsidRPr="00EF1654">
              <w:rPr>
                <w:rFonts w:ascii="Aptos" w:hAnsi="Aptos" w:cs="Times New Roman"/>
                <w:sz w:val="24"/>
                <w:szCs w:val="24"/>
              </w:rPr>
              <w:t xml:space="preserve"> through</w:t>
            </w:r>
            <w:r>
              <w:rPr>
                <w:rFonts w:ascii="Aptos" w:hAnsi="Aptos" w:cs="Times New Roman"/>
                <w:sz w:val="24"/>
                <w:szCs w:val="24"/>
              </w:rPr>
              <w:t xml:space="preserve"> an optional</w:t>
            </w:r>
            <w:r w:rsidRPr="00EF1654">
              <w:rPr>
                <w:rFonts w:ascii="Aptos" w:hAnsi="Aptos" w:cs="Times New Roman"/>
                <w:sz w:val="24"/>
                <w:szCs w:val="24"/>
              </w:rPr>
              <w:t xml:space="preserve"> non-aca</w:t>
            </w:r>
            <w:r>
              <w:rPr>
                <w:rFonts w:ascii="Aptos" w:hAnsi="Aptos" w:cs="Times New Roman"/>
                <w:sz w:val="24"/>
                <w:szCs w:val="24"/>
              </w:rPr>
              <w:t>demic</w:t>
            </w:r>
            <w:r w:rsidRPr="00EF1654">
              <w:rPr>
                <w:rFonts w:ascii="Aptos" w:hAnsi="Aptos" w:cs="Times New Roman"/>
                <w:sz w:val="24"/>
                <w:szCs w:val="24"/>
              </w:rPr>
              <w:t xml:space="preserve"> placement</w:t>
            </w:r>
            <w:r>
              <w:rPr>
                <w:rFonts w:ascii="Aptos" w:hAnsi="Aptos" w:cs="Times New Roman"/>
                <w:sz w:val="24"/>
                <w:szCs w:val="24"/>
              </w:rPr>
              <w:t>. If you are planning a non-academic placement, please do declare it here by counting it against the final month duration and state so in the research outline.</w:t>
            </w:r>
          </w:p>
        </w:tc>
      </w:tr>
    </w:tbl>
    <w:p w14:paraId="77588576" w14:textId="77777777" w:rsidR="00264E61" w:rsidRDefault="00264E61" w:rsidP="00264E61">
      <w:pPr>
        <w:spacing w:after="0"/>
        <w:rPr>
          <w:rFonts w:ascii="Aptos" w:hAnsi="Aptos" w:cs="Times New Roman"/>
          <w:sz w:val="24"/>
          <w:szCs w:val="24"/>
        </w:rPr>
      </w:pPr>
    </w:p>
    <w:p w14:paraId="1A05004C" w14:textId="77777777" w:rsidR="00264E61" w:rsidRPr="00440463" w:rsidRDefault="00264E61" w:rsidP="00264E61">
      <w:pPr>
        <w:spacing w:after="0"/>
        <w:rPr>
          <w:rFonts w:ascii="Aptos" w:hAnsi="Aptos" w:cs="Times New Roman"/>
          <w:sz w:val="24"/>
          <w:szCs w:val="24"/>
        </w:rPr>
      </w:pPr>
    </w:p>
    <w:tbl>
      <w:tblPr>
        <w:tblW w:w="0" w:type="auto"/>
        <w:jc w:val="center"/>
        <w:tblLook w:val="04A0" w:firstRow="1" w:lastRow="0" w:firstColumn="1" w:lastColumn="0" w:noHBand="0" w:noVBand="1"/>
      </w:tblPr>
      <w:tblGrid>
        <w:gridCol w:w="9491"/>
      </w:tblGrid>
      <w:tr w:rsidR="00264E61" w:rsidRPr="00440463" w14:paraId="2715E26C" w14:textId="77777777" w:rsidTr="00C7447E">
        <w:trPr>
          <w:jc w:val="center"/>
        </w:trPr>
        <w:tc>
          <w:tcPr>
            <w:tcW w:w="9491" w:type="dxa"/>
            <w:shd w:val="clear" w:color="auto" w:fill="EDEDED"/>
            <w:hideMark/>
          </w:tcPr>
          <w:p w14:paraId="4CE923F9" w14:textId="77777777" w:rsidR="00264E61" w:rsidRPr="00440463" w:rsidRDefault="00264E61" w:rsidP="003674A3">
            <w:pPr>
              <w:spacing w:after="0"/>
              <w:rPr>
                <w:rFonts w:ascii="Aptos" w:hAnsi="Aptos" w:cs="Times New Roman"/>
                <w:b/>
                <w:bCs/>
                <w:sz w:val="24"/>
                <w:szCs w:val="24"/>
              </w:rPr>
            </w:pPr>
            <w:r w:rsidRPr="00440463">
              <w:rPr>
                <w:rFonts w:ascii="Aptos" w:hAnsi="Aptos" w:cs="Times New Roman"/>
                <w:b/>
                <w:bCs/>
                <w:sz w:val="24"/>
                <w:szCs w:val="24"/>
              </w:rPr>
              <w:t>ELIGIBILITY CONFIRMATION (MANDATORY)</w:t>
            </w:r>
          </w:p>
        </w:tc>
      </w:tr>
      <w:tr w:rsidR="00264E61" w:rsidRPr="00440463" w14:paraId="24BAB521" w14:textId="77777777" w:rsidTr="00C7447E">
        <w:trPr>
          <w:jc w:val="center"/>
        </w:trPr>
        <w:tc>
          <w:tcPr>
            <w:tcW w:w="9491" w:type="dxa"/>
            <w:shd w:val="clear" w:color="auto" w:fill="EDEDED"/>
            <w:hideMark/>
          </w:tcPr>
          <w:p w14:paraId="0D9C1058" w14:textId="77777777" w:rsidR="00264E61" w:rsidRDefault="00264E61" w:rsidP="003674A3">
            <w:pPr>
              <w:spacing w:after="0"/>
              <w:rPr>
                <w:rFonts w:ascii="Aptos" w:hAnsi="Aptos" w:cs="Times New Roman"/>
                <w:sz w:val="24"/>
                <w:szCs w:val="24"/>
              </w:rPr>
            </w:pPr>
            <w:r>
              <w:rPr>
                <w:rFonts w:ascii="Aptos" w:hAnsi="Aptos" w:cs="Times New Roman"/>
                <w:sz w:val="24"/>
                <w:szCs w:val="24"/>
              </w:rPr>
              <w:t>I</w:t>
            </w:r>
            <w:r w:rsidRPr="00440463">
              <w:rPr>
                <w:rFonts w:ascii="Aptos" w:hAnsi="Aptos" w:cs="Times New Roman"/>
                <w:sz w:val="24"/>
                <w:szCs w:val="24"/>
              </w:rPr>
              <w:t>t is the applicant’s responsibility to ensure full compliance with the official MSCA 2026 Work Programme.</w:t>
            </w:r>
            <w:r>
              <w:rPr>
                <w:rFonts w:ascii="Aptos" w:hAnsi="Aptos" w:cs="Times New Roman"/>
                <w:sz w:val="24"/>
                <w:szCs w:val="24"/>
              </w:rPr>
              <w:t xml:space="preserve"> </w:t>
            </w:r>
            <w:r w:rsidRPr="00440463">
              <w:rPr>
                <w:rFonts w:ascii="Aptos" w:hAnsi="Aptos" w:cs="Times New Roman"/>
                <w:sz w:val="24"/>
                <w:szCs w:val="24"/>
              </w:rPr>
              <w:t xml:space="preserve">You must explicitly confirm that you meet ALL MSCA eligibility </w:t>
            </w:r>
            <w:r w:rsidRPr="00440463">
              <w:rPr>
                <w:rFonts w:ascii="Aptos" w:hAnsi="Aptos" w:cs="Times New Roman"/>
                <w:sz w:val="24"/>
                <w:szCs w:val="24"/>
              </w:rPr>
              <w:lastRenderedPageBreak/>
              <w:t>requirements:</w:t>
            </w:r>
            <w:r w:rsidRPr="00440463">
              <w:rPr>
                <w:rFonts w:ascii="Aptos" w:hAnsi="Aptos" w:cs="Times New Roman"/>
                <w:sz w:val="24"/>
                <w:szCs w:val="24"/>
              </w:rPr>
              <w:br/>
            </w:r>
            <w:r w:rsidRPr="00440463">
              <w:rPr>
                <w:rFonts w:ascii="Aptos" w:hAnsi="Aptos" w:cs="Times New Roman"/>
                <w:sz w:val="24"/>
                <w:szCs w:val="24"/>
              </w:rPr>
              <w:br/>
            </w:r>
            <w:sdt>
              <w:sdtPr>
                <w:rPr>
                  <w:rFonts w:ascii="Aptos" w:hAnsi="Aptos" w:cs="Times New Roman"/>
                  <w:sz w:val="24"/>
                  <w:szCs w:val="24"/>
                </w:rPr>
                <w:id w:val="173565068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440463">
              <w:rPr>
                <w:rFonts w:ascii="Aptos" w:hAnsi="Aptos" w:cs="Times New Roman"/>
                <w:sz w:val="24"/>
                <w:szCs w:val="24"/>
              </w:rPr>
              <w:t xml:space="preserve"> Doctoral degree awarded (or viva successfully completed) before 9 September 2026.</w:t>
            </w:r>
            <w:r w:rsidRPr="00440463">
              <w:rPr>
                <w:rFonts w:ascii="Aptos" w:hAnsi="Aptos" w:cs="Times New Roman"/>
                <w:sz w:val="24"/>
                <w:szCs w:val="24"/>
              </w:rPr>
              <w:br/>
            </w:r>
            <w:sdt>
              <w:sdtPr>
                <w:rPr>
                  <w:rFonts w:ascii="Aptos" w:hAnsi="Aptos" w:cs="Times New Roman"/>
                  <w:sz w:val="24"/>
                  <w:szCs w:val="24"/>
                </w:rPr>
                <w:id w:val="88022144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440463">
              <w:rPr>
                <w:rFonts w:ascii="Aptos" w:hAnsi="Aptos" w:cs="Times New Roman"/>
                <w:sz w:val="24"/>
                <w:szCs w:val="24"/>
              </w:rPr>
              <w:t xml:space="preserve"> Maximum 8 years full-time equivalent research experience (including permitted extensions).</w:t>
            </w:r>
          </w:p>
          <w:p w14:paraId="372BC1E8" w14:textId="77777777" w:rsidR="00264E61" w:rsidRPr="00440463" w:rsidRDefault="00264E61" w:rsidP="003674A3">
            <w:pPr>
              <w:spacing w:after="0"/>
              <w:rPr>
                <w:rFonts w:ascii="Aptos" w:hAnsi="Aptos" w:cs="Times New Roman"/>
                <w:sz w:val="24"/>
                <w:szCs w:val="24"/>
              </w:rPr>
            </w:pPr>
            <w:r w:rsidRPr="0051487D">
              <w:rPr>
                <w:rFonts w:ascii="Aptos" w:hAnsi="Aptos" w:cs="Calibri"/>
              </w:rPr>
              <w:t>To help applicants calculate the possible deductions of their 8-years research experience, the European Research Executive Agency has published the following </w:t>
            </w:r>
            <w:hyperlink r:id="rId11">
              <w:r w:rsidRPr="0051487D">
                <w:rPr>
                  <w:rStyle w:val="Hyperlink"/>
                  <w:rFonts w:ascii="Aptos" w:hAnsi="Aptos" w:cs="Calibri"/>
                  <w:b/>
                  <w:bCs/>
                </w:rPr>
                <w:t>Guidelines document</w:t>
              </w:r>
            </w:hyperlink>
            <w:r w:rsidRPr="0051487D">
              <w:rPr>
                <w:rFonts w:ascii="Aptos" w:hAnsi="Aptos" w:cs="Calibri"/>
              </w:rPr>
              <w:t> and </w:t>
            </w:r>
            <w:hyperlink r:id="rId12">
              <w:r w:rsidRPr="0051487D">
                <w:rPr>
                  <w:rStyle w:val="Hyperlink"/>
                  <w:rFonts w:ascii="Aptos" w:hAnsi="Aptos" w:cs="Calibri"/>
                  <w:b/>
                  <w:bCs/>
                </w:rPr>
                <w:t>self-assessment tool</w:t>
              </w:r>
            </w:hyperlink>
            <w:r w:rsidRPr="00440463">
              <w:rPr>
                <w:rFonts w:ascii="Aptos" w:hAnsi="Aptos" w:cs="Times New Roman"/>
                <w:sz w:val="24"/>
                <w:szCs w:val="24"/>
              </w:rPr>
              <w:br/>
            </w:r>
            <w:sdt>
              <w:sdtPr>
                <w:rPr>
                  <w:rFonts w:ascii="Aptos" w:hAnsi="Aptos" w:cs="Times New Roman"/>
                  <w:sz w:val="24"/>
                  <w:szCs w:val="24"/>
                </w:rPr>
                <w:id w:val="-15898503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440463">
              <w:rPr>
                <w:rFonts w:ascii="Aptos" w:hAnsi="Aptos" w:cs="Times New Roman"/>
                <w:sz w:val="24"/>
                <w:szCs w:val="24"/>
              </w:rPr>
              <w:t xml:space="preserve"> Compliance with Mobility Rule (no more than 12 months in host country in previous 36 months).</w:t>
            </w:r>
          </w:p>
        </w:tc>
      </w:tr>
    </w:tbl>
    <w:p w14:paraId="29C37048" w14:textId="77777777" w:rsidR="00264E61" w:rsidRDefault="00264E61" w:rsidP="00264E61">
      <w:pPr>
        <w:spacing w:after="0"/>
        <w:rPr>
          <w:rFonts w:ascii="Aptos" w:hAnsi="Aptos" w:cs="Times New Roman"/>
          <w:b/>
          <w:bCs/>
          <w:color w:val="1F497D" w:themeColor="text2"/>
          <w:sz w:val="24"/>
          <w:szCs w:val="24"/>
        </w:rPr>
      </w:pPr>
    </w:p>
    <w:tbl>
      <w:tblPr>
        <w:tblW w:w="0" w:type="auto"/>
        <w:jc w:val="center"/>
        <w:tblLook w:val="04A0" w:firstRow="1" w:lastRow="0" w:firstColumn="1" w:lastColumn="0" w:noHBand="0" w:noVBand="1"/>
      </w:tblPr>
      <w:tblGrid>
        <w:gridCol w:w="9491"/>
      </w:tblGrid>
      <w:tr w:rsidR="00264E61" w:rsidRPr="00440463" w14:paraId="78E6FA18" w14:textId="77777777" w:rsidTr="00C7447E">
        <w:trPr>
          <w:jc w:val="center"/>
        </w:trPr>
        <w:tc>
          <w:tcPr>
            <w:tcW w:w="9491" w:type="dxa"/>
            <w:shd w:val="clear" w:color="auto" w:fill="EDEDED"/>
            <w:hideMark/>
          </w:tcPr>
          <w:p w14:paraId="49B743F6" w14:textId="77777777" w:rsidR="00264E61" w:rsidRPr="0051487D" w:rsidRDefault="00264E61" w:rsidP="003674A3">
            <w:pPr>
              <w:pStyle w:val="NoSpacing"/>
              <w:rPr>
                <w:rFonts w:ascii="Aptos" w:hAnsi="Aptos" w:cs="Calibri"/>
                <w:b/>
                <w:sz w:val="24"/>
                <w:szCs w:val="24"/>
                <w:lang w:val="en-GB"/>
              </w:rPr>
            </w:pPr>
            <w:r w:rsidRPr="0051487D">
              <w:rPr>
                <w:rFonts w:ascii="Aptos" w:hAnsi="Aptos" w:cs="Calibri"/>
                <w:b/>
                <w:sz w:val="24"/>
                <w:szCs w:val="24"/>
                <w:lang w:val="en-GB"/>
              </w:rPr>
              <w:t>RESUBMISSION</w:t>
            </w:r>
          </w:p>
          <w:p w14:paraId="16B70AFD" w14:textId="77777777" w:rsidR="00264E61" w:rsidRPr="0051487D" w:rsidRDefault="00264E61" w:rsidP="003674A3">
            <w:pPr>
              <w:pStyle w:val="NoSpacing"/>
              <w:rPr>
                <w:rFonts w:ascii="Aptos" w:hAnsi="Aptos" w:cs="Calibri"/>
                <w:i/>
                <w:sz w:val="24"/>
                <w:szCs w:val="24"/>
                <w:lang w:val="en-GB"/>
              </w:rPr>
            </w:pPr>
            <w:r w:rsidRPr="0051487D">
              <w:rPr>
                <w:rFonts w:ascii="Aptos" w:hAnsi="Aptos" w:cs="Calibri"/>
                <w:i/>
                <w:sz w:val="24"/>
                <w:szCs w:val="24"/>
                <w:lang w:val="en-GB"/>
              </w:rPr>
              <w:t>If you have previously submitted a proposal to the MSCA Postdoctoral Fellowships scheme, please provide the following information:</w:t>
            </w:r>
          </w:p>
          <w:p w14:paraId="072D3E7E" w14:textId="77777777" w:rsidR="00264E61" w:rsidRPr="0051487D" w:rsidRDefault="00264E61" w:rsidP="003674A3">
            <w:pPr>
              <w:pStyle w:val="NoSpacing"/>
              <w:rPr>
                <w:rFonts w:ascii="Aptos" w:hAnsi="Aptos" w:cs="Calibri"/>
                <w:i/>
                <w:sz w:val="24"/>
                <w:szCs w:val="24"/>
                <w:lang w:val="en-GB"/>
              </w:rPr>
            </w:pPr>
          </w:p>
          <w:p w14:paraId="6DC30C30" w14:textId="77777777" w:rsidR="00264E61" w:rsidRPr="0051487D" w:rsidRDefault="00264E61" w:rsidP="003674A3">
            <w:pPr>
              <w:pStyle w:val="NoSpacing"/>
              <w:rPr>
                <w:rFonts w:ascii="Aptos" w:hAnsi="Aptos" w:cs="Calibri"/>
                <w:sz w:val="24"/>
                <w:szCs w:val="24"/>
                <w:lang w:val="en-GB"/>
              </w:rPr>
            </w:pPr>
            <w:r w:rsidRPr="0051487D">
              <w:rPr>
                <w:rFonts w:ascii="Aptos" w:hAnsi="Aptos" w:cs="Calibri"/>
                <w:b/>
                <w:sz w:val="24"/>
                <w:szCs w:val="24"/>
                <w:lang w:val="en-GB"/>
              </w:rPr>
              <w:t xml:space="preserve">Title of the proposal previously submitted: </w:t>
            </w:r>
          </w:p>
          <w:p w14:paraId="6EB771EA" w14:textId="77777777" w:rsidR="00264E61" w:rsidRPr="0051487D" w:rsidRDefault="00264E61" w:rsidP="003674A3">
            <w:pPr>
              <w:pStyle w:val="NoSpacing"/>
              <w:rPr>
                <w:rFonts w:ascii="Aptos" w:hAnsi="Aptos" w:cs="Calibri"/>
                <w:sz w:val="24"/>
                <w:szCs w:val="24"/>
                <w:lang w:val="en-GB"/>
              </w:rPr>
            </w:pPr>
            <w:r w:rsidRPr="0051487D">
              <w:rPr>
                <w:rFonts w:ascii="Aptos" w:hAnsi="Aptos" w:cs="Calibri"/>
                <w:b/>
                <w:sz w:val="24"/>
                <w:szCs w:val="24"/>
                <w:lang w:val="en-GB"/>
              </w:rPr>
              <w:t xml:space="preserve">Date it was submitted to MSCA: </w:t>
            </w:r>
          </w:p>
          <w:p w14:paraId="0E9A0E2E" w14:textId="77777777" w:rsidR="00264E61" w:rsidRPr="0051487D" w:rsidRDefault="00264E61" w:rsidP="003674A3">
            <w:pPr>
              <w:pStyle w:val="NoSpacing"/>
              <w:rPr>
                <w:rFonts w:ascii="Aptos" w:hAnsi="Aptos" w:cs="Calibri"/>
                <w:sz w:val="24"/>
                <w:szCs w:val="24"/>
                <w:lang w:val="en-GB"/>
              </w:rPr>
            </w:pPr>
            <w:r w:rsidRPr="0051487D">
              <w:rPr>
                <w:rFonts w:ascii="Aptos" w:hAnsi="Aptos" w:cs="Calibri"/>
                <w:b/>
                <w:sz w:val="24"/>
                <w:szCs w:val="24"/>
                <w:lang w:val="en-GB"/>
              </w:rPr>
              <w:t xml:space="preserve">Overall score </w:t>
            </w:r>
            <w:r w:rsidRPr="00ED4104">
              <w:rPr>
                <w:rFonts w:ascii="Aptos" w:hAnsi="Aptos" w:cs="Calibri"/>
                <w:bCs/>
                <w:sz w:val="24"/>
                <w:szCs w:val="24"/>
                <w:lang w:val="en-GB"/>
              </w:rPr>
              <w:t>(in %)</w:t>
            </w:r>
            <w:r w:rsidRPr="0051487D">
              <w:rPr>
                <w:rFonts w:ascii="Aptos" w:hAnsi="Aptos" w:cs="Calibri"/>
                <w:b/>
                <w:sz w:val="24"/>
                <w:szCs w:val="24"/>
                <w:lang w:val="en-GB"/>
              </w:rPr>
              <w:t xml:space="preserve">: </w:t>
            </w:r>
          </w:p>
          <w:p w14:paraId="471EAB0A" w14:textId="77777777" w:rsidR="00264E61" w:rsidRPr="0051487D" w:rsidRDefault="00264E61" w:rsidP="003674A3">
            <w:pPr>
              <w:pStyle w:val="NoSpacing"/>
              <w:rPr>
                <w:rFonts w:ascii="Aptos" w:hAnsi="Aptos" w:cs="Calibri"/>
                <w:sz w:val="24"/>
                <w:szCs w:val="24"/>
                <w:lang w:val="en-GB"/>
              </w:rPr>
            </w:pPr>
            <w:r w:rsidRPr="0051487D">
              <w:rPr>
                <w:rFonts w:ascii="Aptos" w:hAnsi="Aptos" w:cs="Calibri"/>
                <w:b/>
                <w:sz w:val="24"/>
                <w:szCs w:val="24"/>
                <w:lang w:val="en-GB"/>
              </w:rPr>
              <w:t xml:space="preserve">Name of hosting institution: </w:t>
            </w:r>
          </w:p>
          <w:p w14:paraId="7E947E8A" w14:textId="77777777" w:rsidR="00264E61" w:rsidRPr="00ED4104" w:rsidRDefault="00264E61" w:rsidP="003674A3">
            <w:pPr>
              <w:pStyle w:val="NoSpacing"/>
              <w:rPr>
                <w:rFonts w:ascii="Aptos" w:hAnsi="Aptos" w:cs="Calibri"/>
                <w:bCs/>
                <w:sz w:val="24"/>
                <w:szCs w:val="24"/>
                <w:lang w:val="en-GB"/>
              </w:rPr>
            </w:pPr>
            <w:r w:rsidRPr="0051487D">
              <w:rPr>
                <w:rFonts w:ascii="Aptos" w:hAnsi="Aptos" w:cs="Calibri"/>
                <w:b/>
                <w:sz w:val="24"/>
                <w:szCs w:val="24"/>
                <w:lang w:val="en-GB"/>
              </w:rPr>
              <w:t xml:space="preserve">Name of the associated partner hosting the outgoing phase </w:t>
            </w:r>
            <w:r w:rsidRPr="00ED4104">
              <w:rPr>
                <w:rFonts w:ascii="Aptos" w:hAnsi="Aptos" w:cs="Calibri"/>
                <w:bCs/>
                <w:sz w:val="24"/>
                <w:szCs w:val="24"/>
                <w:lang w:val="en-GB"/>
              </w:rPr>
              <w:t xml:space="preserve">(only applicable if it was for a Global Postdoctoral Fellowship): </w:t>
            </w:r>
          </w:p>
          <w:p w14:paraId="21C76128" w14:textId="77777777" w:rsidR="00264E61" w:rsidRPr="00440463" w:rsidRDefault="00264E61" w:rsidP="003674A3">
            <w:pPr>
              <w:spacing w:after="0"/>
              <w:rPr>
                <w:rFonts w:ascii="Aptos" w:hAnsi="Aptos" w:cs="Times New Roman"/>
                <w:b/>
                <w:bCs/>
                <w:sz w:val="24"/>
                <w:szCs w:val="24"/>
              </w:rPr>
            </w:pPr>
          </w:p>
        </w:tc>
      </w:tr>
      <w:tr w:rsidR="00264E61" w:rsidRPr="00440463" w14:paraId="39C0006A" w14:textId="77777777" w:rsidTr="00C7447E">
        <w:trPr>
          <w:jc w:val="center"/>
        </w:trPr>
        <w:tc>
          <w:tcPr>
            <w:tcW w:w="9491" w:type="dxa"/>
            <w:shd w:val="clear" w:color="auto" w:fill="EDEDED"/>
            <w:hideMark/>
          </w:tcPr>
          <w:p w14:paraId="50155E42" w14:textId="77777777" w:rsidR="00264E61" w:rsidRDefault="00264E61" w:rsidP="003674A3">
            <w:pPr>
              <w:spacing w:after="0"/>
              <w:rPr>
                <w:rFonts w:ascii="Aptos" w:hAnsi="Aptos" w:cs="Times New Roman"/>
                <w:sz w:val="24"/>
                <w:szCs w:val="24"/>
              </w:rPr>
            </w:pPr>
          </w:p>
          <w:p w14:paraId="5ECDE769" w14:textId="77777777" w:rsidR="00264E61" w:rsidRDefault="00264E61" w:rsidP="003674A3">
            <w:pPr>
              <w:spacing w:after="0"/>
              <w:rPr>
                <w:rFonts w:ascii="Aptos" w:hAnsi="Aptos" w:cs="Times New Roman"/>
                <w:sz w:val="24"/>
                <w:szCs w:val="24"/>
              </w:rPr>
            </w:pPr>
          </w:p>
          <w:p w14:paraId="1C339464" w14:textId="77777777" w:rsidR="00264E61" w:rsidRDefault="00264E61" w:rsidP="003674A3">
            <w:pPr>
              <w:spacing w:after="0"/>
              <w:rPr>
                <w:rFonts w:ascii="Aptos" w:hAnsi="Aptos" w:cs="Times New Roman"/>
                <w:sz w:val="24"/>
                <w:szCs w:val="24"/>
              </w:rPr>
            </w:pPr>
          </w:p>
          <w:p w14:paraId="01D093BA" w14:textId="77777777" w:rsidR="00264E61" w:rsidRPr="00440463" w:rsidRDefault="00264E61" w:rsidP="003674A3">
            <w:pPr>
              <w:spacing w:after="0"/>
              <w:rPr>
                <w:rFonts w:ascii="Aptos" w:hAnsi="Aptos" w:cs="Times New Roman"/>
                <w:sz w:val="24"/>
                <w:szCs w:val="24"/>
              </w:rPr>
            </w:pPr>
          </w:p>
        </w:tc>
      </w:tr>
    </w:tbl>
    <w:p w14:paraId="15DCC50B" w14:textId="77777777" w:rsidR="00264E61" w:rsidRDefault="00264E61" w:rsidP="00264E61">
      <w:pPr>
        <w:spacing w:after="0"/>
        <w:rPr>
          <w:rFonts w:ascii="Aptos" w:hAnsi="Aptos" w:cs="Times New Roman"/>
          <w:b/>
          <w:bCs/>
          <w:color w:val="1F497D" w:themeColor="text2"/>
          <w:sz w:val="24"/>
          <w:szCs w:val="24"/>
        </w:rPr>
      </w:pPr>
    </w:p>
    <w:p w14:paraId="517FFC01" w14:textId="77777777" w:rsidR="00264E61" w:rsidRDefault="00264E61" w:rsidP="00F149C4">
      <w:pPr>
        <w:pStyle w:val="Heading2"/>
      </w:pPr>
    </w:p>
    <w:p w14:paraId="35F3975E" w14:textId="4F50DE47" w:rsidR="00264E61" w:rsidRPr="00F149C4" w:rsidRDefault="00F149C4" w:rsidP="00F149C4">
      <w:pPr>
        <w:pStyle w:val="Heading2"/>
      </w:pPr>
      <w:r w:rsidRPr="00F149C4">
        <w:t>3</w:t>
      </w:r>
      <w:r w:rsidR="00264E61" w:rsidRPr="00F149C4">
        <w:t>. Fit with the University of Strathclyde</w:t>
      </w:r>
    </w:p>
    <w:p w14:paraId="5D02C54B" w14:textId="77777777" w:rsidR="00264E61" w:rsidRDefault="00264E61" w:rsidP="00264E61">
      <w:pPr>
        <w:spacing w:after="0"/>
        <w:rPr>
          <w:rFonts w:ascii="Aptos" w:hAnsi="Aptos" w:cs="Times New Roman"/>
          <w:sz w:val="24"/>
          <w:szCs w:val="24"/>
        </w:rPr>
      </w:pPr>
    </w:p>
    <w:tbl>
      <w:tblPr>
        <w:tblW w:w="0" w:type="auto"/>
        <w:jc w:val="center"/>
        <w:tblLook w:val="04A0" w:firstRow="1" w:lastRow="0" w:firstColumn="1" w:lastColumn="0" w:noHBand="0" w:noVBand="1"/>
      </w:tblPr>
      <w:tblGrid>
        <w:gridCol w:w="9491"/>
      </w:tblGrid>
      <w:tr w:rsidR="00264E61" w:rsidRPr="00440463" w14:paraId="4DA7E234" w14:textId="77777777" w:rsidTr="00C7447E">
        <w:trPr>
          <w:jc w:val="center"/>
        </w:trPr>
        <w:tc>
          <w:tcPr>
            <w:tcW w:w="9491" w:type="dxa"/>
            <w:shd w:val="clear" w:color="auto" w:fill="EDEDED"/>
            <w:hideMark/>
          </w:tcPr>
          <w:p w14:paraId="4E57A769" w14:textId="77777777" w:rsidR="00264E61" w:rsidRPr="0051487D" w:rsidRDefault="00264E61" w:rsidP="003674A3">
            <w:pPr>
              <w:spacing w:after="0"/>
              <w:jc w:val="both"/>
              <w:textAlignment w:val="baseline"/>
              <w:rPr>
                <w:rFonts w:ascii="Aptos" w:eastAsia="Times New Roman" w:hAnsi="Aptos" w:cs="Calibri"/>
                <w:b/>
                <w:bCs/>
                <w:sz w:val="24"/>
                <w:szCs w:val="24"/>
              </w:rPr>
            </w:pPr>
            <w:r w:rsidRPr="0051487D">
              <w:rPr>
                <w:rFonts w:ascii="Aptos" w:eastAsia="Times New Roman" w:hAnsi="Aptos" w:cs="Calibri"/>
                <w:b/>
                <w:bCs/>
                <w:sz w:val="24"/>
                <w:szCs w:val="24"/>
              </w:rPr>
              <w:t>NAME OF POTENTIAL</w:t>
            </w:r>
            <w:r w:rsidRPr="0051487D">
              <w:rPr>
                <w:rFonts w:ascii="Aptos" w:eastAsia="Times New Roman" w:hAnsi="Aptos"/>
                <w:b/>
                <w:bCs/>
                <w:sz w:val="24"/>
                <w:szCs w:val="24"/>
              </w:rPr>
              <w:t xml:space="preserve"> </w:t>
            </w:r>
            <w:r w:rsidRPr="0051487D">
              <w:rPr>
                <w:rFonts w:ascii="Aptos" w:eastAsia="Times New Roman" w:hAnsi="Aptos" w:cs="Calibri"/>
                <w:b/>
                <w:bCs/>
                <w:sz w:val="24"/>
                <w:szCs w:val="24"/>
              </w:rPr>
              <w:t xml:space="preserve">SUPERVISOR AT THE </w:t>
            </w:r>
            <w:proofErr w:type="spellStart"/>
            <w:r w:rsidRPr="0051487D">
              <w:rPr>
                <w:rFonts w:ascii="Aptos" w:eastAsia="Times New Roman" w:hAnsi="Aptos" w:cs="Calibri"/>
                <w:b/>
                <w:bCs/>
                <w:sz w:val="24"/>
                <w:szCs w:val="24"/>
              </w:rPr>
              <w:t>UoS</w:t>
            </w:r>
            <w:proofErr w:type="spellEnd"/>
            <w:r w:rsidRPr="0051487D">
              <w:rPr>
                <w:rFonts w:ascii="Aptos" w:eastAsia="Times New Roman" w:hAnsi="Aptos" w:cs="Calibri"/>
                <w:b/>
                <w:bCs/>
                <w:sz w:val="24"/>
                <w:szCs w:val="24"/>
              </w:rPr>
              <w:t xml:space="preserve"> (OPTIONAL)</w:t>
            </w:r>
          </w:p>
          <w:p w14:paraId="13BE46D5" w14:textId="77777777" w:rsidR="00264E61" w:rsidRPr="00E00CF5" w:rsidRDefault="00264E61" w:rsidP="003674A3">
            <w:pPr>
              <w:spacing w:after="0"/>
              <w:jc w:val="both"/>
              <w:textAlignment w:val="baseline"/>
              <w:rPr>
                <w:rFonts w:ascii="Aptos" w:eastAsia="Times New Roman" w:hAnsi="Aptos" w:cs="Calibri"/>
                <w:i/>
                <w:iCs/>
                <w:sz w:val="24"/>
                <w:szCs w:val="24"/>
              </w:rPr>
            </w:pPr>
            <w:r w:rsidRPr="00E00CF5">
              <w:rPr>
                <w:rFonts w:ascii="Aptos" w:eastAsia="Times New Roman" w:hAnsi="Aptos" w:cs="Calibri"/>
                <w:i/>
                <w:iCs/>
                <w:sz w:val="24"/>
                <w:szCs w:val="24"/>
              </w:rPr>
              <w:t xml:space="preserve">You only need to fill this in if you have identified someone; otherwise leave blank. Please note: if you have already identified a supervisor and both agreed to </w:t>
            </w:r>
            <w:proofErr w:type="gramStart"/>
            <w:r w:rsidRPr="00E00CF5">
              <w:rPr>
                <w:rFonts w:ascii="Aptos" w:eastAsia="Times New Roman" w:hAnsi="Aptos" w:cs="Calibri"/>
                <w:i/>
                <w:iCs/>
                <w:sz w:val="24"/>
                <w:szCs w:val="24"/>
              </w:rPr>
              <w:t>submit an application</w:t>
            </w:r>
            <w:proofErr w:type="gramEnd"/>
            <w:r w:rsidRPr="00E00CF5">
              <w:rPr>
                <w:rFonts w:ascii="Aptos" w:eastAsia="Times New Roman" w:hAnsi="Aptos" w:cs="Calibri"/>
                <w:i/>
                <w:iCs/>
                <w:sz w:val="24"/>
                <w:szCs w:val="24"/>
              </w:rPr>
              <w:t>, there is no need to fill in this expression of interest</w:t>
            </w:r>
            <w:r>
              <w:rPr>
                <w:rFonts w:ascii="Aptos" w:eastAsia="Times New Roman" w:hAnsi="Aptos" w:cs="Calibri"/>
                <w:i/>
                <w:iCs/>
                <w:sz w:val="24"/>
                <w:szCs w:val="24"/>
              </w:rPr>
              <w:t>.</w:t>
            </w:r>
          </w:p>
          <w:p w14:paraId="05B00B23" w14:textId="77777777" w:rsidR="00264E61" w:rsidRPr="00440463" w:rsidRDefault="00264E61" w:rsidP="003674A3">
            <w:pPr>
              <w:spacing w:after="0"/>
              <w:rPr>
                <w:rFonts w:ascii="Aptos" w:hAnsi="Aptos" w:cs="Times New Roman"/>
                <w:b/>
                <w:bCs/>
                <w:sz w:val="24"/>
                <w:szCs w:val="24"/>
              </w:rPr>
            </w:pPr>
          </w:p>
        </w:tc>
      </w:tr>
      <w:tr w:rsidR="00264E61" w:rsidRPr="00440463" w14:paraId="675FF614" w14:textId="77777777" w:rsidTr="00C7447E">
        <w:trPr>
          <w:jc w:val="center"/>
        </w:trPr>
        <w:tc>
          <w:tcPr>
            <w:tcW w:w="9491" w:type="dxa"/>
            <w:shd w:val="clear" w:color="auto" w:fill="EDEDED"/>
            <w:hideMark/>
          </w:tcPr>
          <w:p w14:paraId="3C9DD057" w14:textId="77777777" w:rsidR="00264E61" w:rsidRDefault="00264E61" w:rsidP="003674A3">
            <w:pPr>
              <w:spacing w:after="0"/>
              <w:rPr>
                <w:rFonts w:ascii="Aptos" w:hAnsi="Aptos" w:cs="Times New Roman"/>
                <w:sz w:val="24"/>
                <w:szCs w:val="24"/>
              </w:rPr>
            </w:pPr>
          </w:p>
          <w:p w14:paraId="0D4E5F38" w14:textId="77777777" w:rsidR="00264E61" w:rsidRDefault="00264E61" w:rsidP="003674A3">
            <w:pPr>
              <w:spacing w:after="0"/>
              <w:rPr>
                <w:rFonts w:ascii="Aptos" w:hAnsi="Aptos" w:cs="Times New Roman"/>
                <w:sz w:val="24"/>
                <w:szCs w:val="24"/>
              </w:rPr>
            </w:pPr>
          </w:p>
          <w:p w14:paraId="12A79102" w14:textId="77777777" w:rsidR="00264E61" w:rsidRDefault="00264E61" w:rsidP="003674A3">
            <w:pPr>
              <w:spacing w:after="0"/>
              <w:rPr>
                <w:rFonts w:ascii="Aptos" w:hAnsi="Aptos" w:cs="Times New Roman"/>
                <w:sz w:val="24"/>
                <w:szCs w:val="24"/>
              </w:rPr>
            </w:pPr>
          </w:p>
          <w:p w14:paraId="4172ACE7" w14:textId="77777777" w:rsidR="00264E61" w:rsidRPr="00440463" w:rsidRDefault="00264E61" w:rsidP="003674A3">
            <w:pPr>
              <w:spacing w:after="0"/>
              <w:rPr>
                <w:rFonts w:ascii="Aptos" w:hAnsi="Aptos" w:cs="Times New Roman"/>
                <w:sz w:val="24"/>
                <w:szCs w:val="24"/>
              </w:rPr>
            </w:pPr>
          </w:p>
        </w:tc>
      </w:tr>
    </w:tbl>
    <w:p w14:paraId="67704723" w14:textId="77777777" w:rsidR="00264E61" w:rsidRDefault="00264E61" w:rsidP="00264E61">
      <w:pPr>
        <w:spacing w:after="0"/>
        <w:rPr>
          <w:rFonts w:ascii="Aptos" w:hAnsi="Aptos" w:cs="Times New Roman"/>
          <w:sz w:val="24"/>
          <w:szCs w:val="24"/>
        </w:rPr>
      </w:pPr>
    </w:p>
    <w:tbl>
      <w:tblPr>
        <w:tblW w:w="0" w:type="auto"/>
        <w:jc w:val="center"/>
        <w:tblLook w:val="04A0" w:firstRow="1" w:lastRow="0" w:firstColumn="1" w:lastColumn="0" w:noHBand="0" w:noVBand="1"/>
      </w:tblPr>
      <w:tblGrid>
        <w:gridCol w:w="9349"/>
      </w:tblGrid>
      <w:tr w:rsidR="00264E61" w:rsidRPr="00440463" w14:paraId="38A044AD" w14:textId="77777777" w:rsidTr="00C7447E">
        <w:trPr>
          <w:jc w:val="center"/>
        </w:trPr>
        <w:tc>
          <w:tcPr>
            <w:tcW w:w="9349" w:type="dxa"/>
            <w:shd w:val="clear" w:color="auto" w:fill="EDEDED"/>
            <w:hideMark/>
          </w:tcPr>
          <w:p w14:paraId="5965FCCE" w14:textId="77777777" w:rsidR="00264E61" w:rsidRPr="00440463" w:rsidRDefault="00264E61" w:rsidP="003674A3">
            <w:pPr>
              <w:spacing w:after="0"/>
              <w:rPr>
                <w:rFonts w:ascii="Aptos" w:hAnsi="Aptos" w:cs="Times New Roman"/>
                <w:b/>
                <w:bCs/>
                <w:sz w:val="24"/>
                <w:szCs w:val="24"/>
              </w:rPr>
            </w:pPr>
            <w:r w:rsidRPr="00440463">
              <w:rPr>
                <w:rFonts w:ascii="Aptos" w:hAnsi="Aptos" w:cs="Times New Roman"/>
                <w:b/>
                <w:bCs/>
                <w:sz w:val="24"/>
                <w:szCs w:val="24"/>
              </w:rPr>
              <w:t>SELECTED RESEARCH AREA (MANDATORY)</w:t>
            </w:r>
          </w:p>
        </w:tc>
      </w:tr>
      <w:tr w:rsidR="00264E61" w:rsidRPr="00440463" w14:paraId="3C7131B5" w14:textId="77777777" w:rsidTr="00C7447E">
        <w:trPr>
          <w:jc w:val="center"/>
        </w:trPr>
        <w:tc>
          <w:tcPr>
            <w:tcW w:w="9349" w:type="dxa"/>
            <w:shd w:val="clear" w:color="auto" w:fill="EDEDED"/>
            <w:hideMark/>
          </w:tcPr>
          <w:p w14:paraId="77777284" w14:textId="77777777" w:rsidR="00264E61" w:rsidRPr="00440463" w:rsidRDefault="00264E61" w:rsidP="003674A3">
            <w:pPr>
              <w:spacing w:after="0"/>
              <w:rPr>
                <w:rFonts w:ascii="Aptos" w:hAnsi="Aptos" w:cs="Times New Roman"/>
                <w:sz w:val="24"/>
                <w:szCs w:val="24"/>
              </w:rPr>
            </w:pPr>
            <w:r w:rsidRPr="00440463">
              <w:rPr>
                <w:rFonts w:ascii="Aptos" w:hAnsi="Aptos" w:cs="Times New Roman"/>
                <w:sz w:val="24"/>
                <w:szCs w:val="24"/>
              </w:rPr>
              <w:t>Select ONE primary research area from the Faculty Annex.</w:t>
            </w:r>
            <w:r>
              <w:br/>
            </w:r>
            <w:r>
              <w:br/>
            </w:r>
            <w:r w:rsidRPr="00440463">
              <w:rPr>
                <w:rFonts w:ascii="Aptos" w:hAnsi="Aptos" w:cs="Times New Roman"/>
                <w:sz w:val="24"/>
                <w:szCs w:val="24"/>
              </w:rPr>
              <w:t>You must:</w:t>
            </w:r>
            <w:r>
              <w:br/>
            </w:r>
            <w:r w:rsidRPr="00440463">
              <w:rPr>
                <w:rFonts w:ascii="Aptos" w:hAnsi="Aptos" w:cs="Times New Roman"/>
                <w:sz w:val="24"/>
                <w:szCs w:val="24"/>
              </w:rPr>
              <w:t>• Specify the Faculty</w:t>
            </w:r>
            <w:r>
              <w:br/>
            </w:r>
            <w:r w:rsidRPr="00440463">
              <w:rPr>
                <w:rFonts w:ascii="Aptos" w:hAnsi="Aptos" w:cs="Times New Roman"/>
                <w:sz w:val="24"/>
                <w:szCs w:val="24"/>
              </w:rPr>
              <w:t>• Specify the exact Research Area title</w:t>
            </w:r>
            <w:r>
              <w:br/>
            </w:r>
            <w:r>
              <w:br/>
            </w:r>
            <w:r w:rsidRPr="00440463">
              <w:rPr>
                <w:rFonts w:ascii="Aptos" w:hAnsi="Aptos" w:cs="Times New Roman"/>
                <w:sz w:val="24"/>
                <w:szCs w:val="24"/>
              </w:rPr>
              <w:t>Faculty: ____________________________</w:t>
            </w:r>
            <w:r>
              <w:br/>
            </w:r>
            <w:r w:rsidRPr="00440463">
              <w:rPr>
                <w:rFonts w:ascii="Aptos" w:hAnsi="Aptos" w:cs="Times New Roman"/>
                <w:sz w:val="24"/>
                <w:szCs w:val="24"/>
              </w:rPr>
              <w:t>Research Area: ______________________</w:t>
            </w:r>
            <w:r>
              <w:br/>
            </w:r>
            <w:r>
              <w:br/>
            </w:r>
            <w:r w:rsidRPr="00440463">
              <w:rPr>
                <w:rFonts w:ascii="Aptos" w:hAnsi="Aptos" w:cs="Times New Roman"/>
                <w:sz w:val="24"/>
                <w:szCs w:val="24"/>
              </w:rPr>
              <w:lastRenderedPageBreak/>
              <w:t xml:space="preserve">Applications </w:t>
            </w:r>
            <w:r>
              <w:rPr>
                <w:rFonts w:ascii="Aptos" w:hAnsi="Aptos" w:cs="Times New Roman"/>
                <w:sz w:val="24"/>
                <w:szCs w:val="24"/>
              </w:rPr>
              <w:t xml:space="preserve">not selecting any area or </w:t>
            </w:r>
            <w:r w:rsidRPr="00440463">
              <w:rPr>
                <w:rFonts w:ascii="Aptos" w:hAnsi="Aptos" w:cs="Times New Roman"/>
                <w:sz w:val="24"/>
                <w:szCs w:val="24"/>
              </w:rPr>
              <w:t>selecting more than one primary area will not be considered.</w:t>
            </w:r>
          </w:p>
        </w:tc>
      </w:tr>
    </w:tbl>
    <w:p w14:paraId="5D8CBB0D" w14:textId="77777777" w:rsidR="00264E61" w:rsidRDefault="00264E61" w:rsidP="00264E61">
      <w:pPr>
        <w:spacing w:after="0"/>
        <w:rPr>
          <w:rFonts w:ascii="Aptos" w:hAnsi="Aptos" w:cs="Times New Roman"/>
          <w:sz w:val="24"/>
          <w:szCs w:val="24"/>
        </w:rPr>
      </w:pPr>
    </w:p>
    <w:p w14:paraId="7AF0DACE" w14:textId="77777777" w:rsidR="00264E61" w:rsidRPr="00440463" w:rsidRDefault="00264E61" w:rsidP="00264E61">
      <w:pPr>
        <w:spacing w:after="0"/>
        <w:rPr>
          <w:rFonts w:ascii="Aptos" w:hAnsi="Aptos" w:cs="Times New Roman"/>
          <w:sz w:val="24"/>
          <w:szCs w:val="24"/>
        </w:rPr>
      </w:pPr>
    </w:p>
    <w:tbl>
      <w:tblPr>
        <w:tblW w:w="0" w:type="auto"/>
        <w:jc w:val="center"/>
        <w:tblLook w:val="04A0" w:firstRow="1" w:lastRow="0" w:firstColumn="1" w:lastColumn="0" w:noHBand="0" w:noVBand="1"/>
      </w:tblPr>
      <w:tblGrid>
        <w:gridCol w:w="9207"/>
      </w:tblGrid>
      <w:tr w:rsidR="00264E61" w:rsidRPr="00440463" w14:paraId="78739D6A" w14:textId="77777777" w:rsidTr="00C7447E">
        <w:trPr>
          <w:jc w:val="center"/>
        </w:trPr>
        <w:tc>
          <w:tcPr>
            <w:tcW w:w="9207" w:type="dxa"/>
            <w:shd w:val="clear" w:color="auto" w:fill="EDEDED"/>
            <w:hideMark/>
          </w:tcPr>
          <w:p w14:paraId="0506FF0F" w14:textId="77777777" w:rsidR="00264E61" w:rsidRPr="00440463" w:rsidRDefault="00264E61" w:rsidP="003674A3">
            <w:pPr>
              <w:spacing w:after="0"/>
              <w:rPr>
                <w:rFonts w:ascii="Aptos" w:hAnsi="Aptos" w:cs="Times New Roman"/>
                <w:b/>
                <w:bCs/>
                <w:sz w:val="24"/>
                <w:szCs w:val="24"/>
              </w:rPr>
            </w:pPr>
            <w:r>
              <w:rPr>
                <w:rFonts w:ascii="Aptos" w:hAnsi="Aptos" w:cs="Times New Roman"/>
                <w:b/>
                <w:bCs/>
                <w:sz w:val="24"/>
                <w:szCs w:val="24"/>
              </w:rPr>
              <w:t>FIT WITH THE HOST INSTITUTION</w:t>
            </w:r>
            <w:r w:rsidRPr="00440463">
              <w:rPr>
                <w:rFonts w:ascii="Aptos" w:hAnsi="Aptos" w:cs="Times New Roman"/>
                <w:b/>
                <w:bCs/>
                <w:sz w:val="24"/>
                <w:szCs w:val="24"/>
              </w:rPr>
              <w:t xml:space="preserve"> (MANDATORY)</w:t>
            </w:r>
            <w:r>
              <w:rPr>
                <w:rFonts w:ascii="Aptos" w:hAnsi="Aptos" w:cs="Times New Roman"/>
                <w:b/>
                <w:bCs/>
                <w:sz w:val="24"/>
                <w:szCs w:val="24"/>
              </w:rPr>
              <w:t xml:space="preserve"> 250 WORDS MAX</w:t>
            </w:r>
          </w:p>
        </w:tc>
      </w:tr>
      <w:tr w:rsidR="00264E61" w:rsidRPr="00440463" w14:paraId="34429329" w14:textId="77777777" w:rsidTr="00C7447E">
        <w:trPr>
          <w:jc w:val="center"/>
        </w:trPr>
        <w:tc>
          <w:tcPr>
            <w:tcW w:w="9207" w:type="dxa"/>
            <w:shd w:val="clear" w:color="auto" w:fill="EDEDED"/>
            <w:hideMark/>
          </w:tcPr>
          <w:p w14:paraId="066AE9D7" w14:textId="77777777" w:rsidR="00264E61" w:rsidRPr="00E00CF5" w:rsidRDefault="00264E61" w:rsidP="003674A3">
            <w:pPr>
              <w:spacing w:after="0" w:line="240" w:lineRule="auto"/>
              <w:rPr>
                <w:rFonts w:ascii="Aptos" w:eastAsia="Times New Roman" w:hAnsi="Aptos" w:cs="Calibri"/>
                <w:i/>
                <w:iCs/>
                <w:sz w:val="24"/>
                <w:szCs w:val="24"/>
                <w:lang w:eastAsia="ja-JP"/>
              </w:rPr>
            </w:pPr>
            <w:r w:rsidRPr="00E00CF5">
              <w:rPr>
                <w:rFonts w:ascii="Aptos" w:eastAsia="Times New Roman" w:hAnsi="Aptos" w:cs="Calibri"/>
                <w:i/>
                <w:iCs/>
                <w:sz w:val="24"/>
                <w:szCs w:val="24"/>
                <w:lang w:eastAsia="ja-JP"/>
              </w:rPr>
              <w:t xml:space="preserve">Outline the reasons for choosing the University of Strathclyde as the host institution and justify your alignment with the chosen research area, including details of research being conducted in the potential host department and beyond which is relevant to your own proposed project, fit/alignment with other departments, the Faculties (e.g. fit with the Engineering Faculty Research Themes outlined in the Annex at the end of this document) and the University of Strathclyde more broadly (e.g. fit with the </w:t>
            </w:r>
            <w:hyperlink r:id="rId13" w:history="1">
              <w:r w:rsidRPr="0022291B">
                <w:rPr>
                  <w:rFonts w:ascii="Aptos" w:eastAsia="Times New Roman" w:hAnsi="Aptos" w:cs="Calibri"/>
                  <w:i/>
                  <w:iCs/>
                  <w:color w:val="auto"/>
                  <w:sz w:val="24"/>
                  <w:szCs w:val="24"/>
                  <w:u w:val="single"/>
                  <w:lang w:eastAsia="ja-JP"/>
                </w:rPr>
                <w:t>University Strategic Themes</w:t>
              </w:r>
            </w:hyperlink>
            <w:r w:rsidRPr="00E00CF5">
              <w:rPr>
                <w:rFonts w:ascii="Aptos" w:eastAsia="Times New Roman" w:hAnsi="Aptos" w:cs="Calibri"/>
                <w:i/>
                <w:iCs/>
                <w:sz w:val="24"/>
                <w:szCs w:val="24"/>
                <w:lang w:eastAsia="ja-JP"/>
              </w:rPr>
              <w:t>).</w:t>
            </w:r>
          </w:p>
          <w:p w14:paraId="4E999A2C" w14:textId="77777777" w:rsidR="00264E61" w:rsidRDefault="00264E61" w:rsidP="003674A3">
            <w:pPr>
              <w:spacing w:after="0"/>
              <w:rPr>
                <w:rFonts w:ascii="Aptos" w:hAnsi="Aptos" w:cs="Times New Roman"/>
                <w:sz w:val="24"/>
                <w:szCs w:val="24"/>
              </w:rPr>
            </w:pPr>
          </w:p>
          <w:p w14:paraId="75BC653E" w14:textId="77777777" w:rsidR="00264E61" w:rsidRDefault="00264E61" w:rsidP="003674A3">
            <w:pPr>
              <w:spacing w:after="0"/>
              <w:rPr>
                <w:rFonts w:ascii="Aptos" w:hAnsi="Aptos" w:cs="Times New Roman"/>
                <w:sz w:val="24"/>
                <w:szCs w:val="24"/>
              </w:rPr>
            </w:pPr>
          </w:p>
          <w:p w14:paraId="578504DE" w14:textId="77777777" w:rsidR="00264E61" w:rsidRDefault="00264E61" w:rsidP="003674A3">
            <w:pPr>
              <w:spacing w:after="0"/>
              <w:rPr>
                <w:rFonts w:ascii="Aptos" w:hAnsi="Aptos" w:cs="Times New Roman"/>
                <w:sz w:val="24"/>
                <w:szCs w:val="24"/>
              </w:rPr>
            </w:pPr>
          </w:p>
          <w:p w14:paraId="2518908B" w14:textId="77777777" w:rsidR="00264E61" w:rsidRDefault="00264E61" w:rsidP="003674A3">
            <w:pPr>
              <w:spacing w:after="0"/>
              <w:rPr>
                <w:rFonts w:ascii="Aptos" w:hAnsi="Aptos" w:cs="Times New Roman"/>
                <w:sz w:val="24"/>
                <w:szCs w:val="24"/>
              </w:rPr>
            </w:pPr>
          </w:p>
          <w:p w14:paraId="3A6DDA72" w14:textId="77777777" w:rsidR="00264E61" w:rsidRDefault="00264E61" w:rsidP="003674A3">
            <w:pPr>
              <w:spacing w:after="0"/>
              <w:rPr>
                <w:rFonts w:ascii="Aptos" w:hAnsi="Aptos" w:cs="Times New Roman"/>
                <w:sz w:val="24"/>
                <w:szCs w:val="24"/>
              </w:rPr>
            </w:pPr>
          </w:p>
          <w:p w14:paraId="236218DD" w14:textId="77777777" w:rsidR="00264E61" w:rsidRDefault="00264E61" w:rsidP="003674A3">
            <w:pPr>
              <w:spacing w:after="0"/>
              <w:rPr>
                <w:rFonts w:ascii="Aptos" w:hAnsi="Aptos" w:cs="Times New Roman"/>
                <w:sz w:val="24"/>
                <w:szCs w:val="24"/>
              </w:rPr>
            </w:pPr>
          </w:p>
          <w:p w14:paraId="05609AC6" w14:textId="77777777" w:rsidR="00264E61" w:rsidRDefault="00264E61" w:rsidP="003674A3">
            <w:pPr>
              <w:spacing w:after="0"/>
              <w:rPr>
                <w:rFonts w:ascii="Aptos" w:hAnsi="Aptos" w:cs="Times New Roman"/>
                <w:sz w:val="24"/>
                <w:szCs w:val="24"/>
              </w:rPr>
            </w:pPr>
          </w:p>
          <w:p w14:paraId="661E5227" w14:textId="77777777" w:rsidR="00264E61" w:rsidRPr="00440463" w:rsidRDefault="00264E61" w:rsidP="003674A3">
            <w:pPr>
              <w:spacing w:after="0"/>
              <w:rPr>
                <w:rFonts w:ascii="Aptos" w:hAnsi="Aptos" w:cs="Times New Roman"/>
                <w:sz w:val="24"/>
                <w:szCs w:val="24"/>
              </w:rPr>
            </w:pPr>
          </w:p>
        </w:tc>
      </w:tr>
    </w:tbl>
    <w:p w14:paraId="7914626F" w14:textId="77777777" w:rsidR="00264E61" w:rsidRDefault="00264E61" w:rsidP="00264E61">
      <w:pPr>
        <w:spacing w:after="0"/>
        <w:rPr>
          <w:rFonts w:ascii="Aptos" w:hAnsi="Aptos" w:cs="Times New Roman"/>
          <w:sz w:val="24"/>
          <w:szCs w:val="24"/>
        </w:rPr>
      </w:pPr>
    </w:p>
    <w:p w14:paraId="1E1134A9" w14:textId="77777777" w:rsidR="00264E61" w:rsidRDefault="00264E61" w:rsidP="00264E61">
      <w:pPr>
        <w:spacing w:after="0"/>
        <w:rPr>
          <w:rFonts w:ascii="Aptos" w:hAnsi="Aptos" w:cs="Times New Roman"/>
          <w:sz w:val="24"/>
          <w:szCs w:val="24"/>
        </w:rPr>
      </w:pPr>
    </w:p>
    <w:p w14:paraId="151E0672" w14:textId="77777777" w:rsidR="00264E61" w:rsidRPr="00E11506" w:rsidRDefault="00264E61" w:rsidP="00264E61">
      <w:pPr>
        <w:spacing w:after="0"/>
        <w:rPr>
          <w:rFonts w:ascii="Aptos" w:hAnsi="Aptos" w:cs="Times New Roman"/>
          <w:sz w:val="24"/>
          <w:szCs w:val="24"/>
        </w:rPr>
      </w:pPr>
    </w:p>
    <w:p w14:paraId="3BEA0F18" w14:textId="77777777" w:rsidR="00264E61" w:rsidRPr="00F149C4" w:rsidRDefault="00264E61" w:rsidP="00F149C4">
      <w:pPr>
        <w:pStyle w:val="Heading2"/>
      </w:pPr>
      <w:r w:rsidRPr="00F149C4">
        <w:t>4. Research Proposal (Max 2 pages) MANDATORY</w:t>
      </w:r>
    </w:p>
    <w:p w14:paraId="1D51D0BB" w14:textId="77777777" w:rsidR="00264E61" w:rsidRPr="00061695" w:rsidRDefault="00264E61" w:rsidP="00264E61">
      <w:pPr>
        <w:spacing w:after="0"/>
        <w:rPr>
          <w:rFonts w:ascii="Aptos" w:hAnsi="Aptos" w:cs="Times New Roman"/>
          <w:sz w:val="24"/>
          <w:szCs w:val="24"/>
        </w:rPr>
      </w:pPr>
      <w:r w:rsidRPr="00061695">
        <w:rPr>
          <w:rFonts w:ascii="Aptos" w:hAnsi="Aptos" w:cs="Times New Roman"/>
          <w:sz w:val="24"/>
          <w:szCs w:val="24"/>
        </w:rPr>
        <w:t>This section is intended to provide an overview of the proposed research idea. Applicants are not expected to submit a fully developed proposal at this stage. Instead, please outline the main research concept, objectives, and approach, demonstrating the potential direction, feasibility, and impact of the project.</w:t>
      </w:r>
    </w:p>
    <w:p w14:paraId="66C15492" w14:textId="77777777" w:rsidR="00264E61" w:rsidRPr="00061695" w:rsidRDefault="00264E61" w:rsidP="00264E61">
      <w:pPr>
        <w:spacing w:after="0"/>
        <w:rPr>
          <w:rFonts w:ascii="Aptos" w:hAnsi="Aptos" w:cs="Times New Roman"/>
          <w:sz w:val="24"/>
          <w:szCs w:val="24"/>
        </w:rPr>
      </w:pPr>
    </w:p>
    <w:tbl>
      <w:tblPr>
        <w:tblW w:w="0" w:type="auto"/>
        <w:jc w:val="center"/>
        <w:tblLook w:val="04A0" w:firstRow="1" w:lastRow="0" w:firstColumn="1" w:lastColumn="0" w:noHBand="0" w:noVBand="1"/>
      </w:tblPr>
      <w:tblGrid>
        <w:gridCol w:w="9066"/>
      </w:tblGrid>
      <w:tr w:rsidR="00264E61" w:rsidRPr="00440463" w14:paraId="381C5706" w14:textId="77777777" w:rsidTr="00C7447E">
        <w:trPr>
          <w:jc w:val="center"/>
        </w:trPr>
        <w:tc>
          <w:tcPr>
            <w:tcW w:w="9066" w:type="dxa"/>
            <w:shd w:val="clear" w:color="auto" w:fill="EDEDED"/>
            <w:hideMark/>
          </w:tcPr>
          <w:p w14:paraId="21D65F8D" w14:textId="77777777" w:rsidR="00264E61" w:rsidRPr="00440463" w:rsidRDefault="00264E61" w:rsidP="003674A3">
            <w:pPr>
              <w:spacing w:after="0"/>
              <w:rPr>
                <w:rFonts w:ascii="Aptos" w:hAnsi="Aptos" w:cs="Times New Roman"/>
                <w:b/>
                <w:bCs/>
                <w:sz w:val="24"/>
                <w:szCs w:val="24"/>
              </w:rPr>
            </w:pPr>
          </w:p>
        </w:tc>
      </w:tr>
      <w:tr w:rsidR="00264E61" w:rsidRPr="00440463" w14:paraId="439E267C" w14:textId="77777777" w:rsidTr="00C7447E">
        <w:trPr>
          <w:jc w:val="center"/>
        </w:trPr>
        <w:tc>
          <w:tcPr>
            <w:tcW w:w="9066" w:type="dxa"/>
            <w:shd w:val="clear" w:color="auto" w:fill="EDEDED"/>
            <w:hideMark/>
          </w:tcPr>
          <w:p w14:paraId="324360DD" w14:textId="77777777" w:rsidR="00264E61" w:rsidRDefault="00264E61" w:rsidP="003674A3">
            <w:pPr>
              <w:spacing w:after="0"/>
              <w:rPr>
                <w:rFonts w:ascii="Aptos" w:hAnsi="Aptos" w:cs="Times New Roman"/>
                <w:sz w:val="24"/>
                <w:szCs w:val="24"/>
              </w:rPr>
            </w:pPr>
            <w:r w:rsidRPr="00D3551D">
              <w:rPr>
                <w:rFonts w:ascii="Aptos" w:hAnsi="Aptos" w:cs="Times New Roman"/>
                <w:b/>
                <w:bCs/>
                <w:sz w:val="24"/>
                <w:szCs w:val="24"/>
              </w:rPr>
              <w:t>T</w:t>
            </w:r>
            <w:r>
              <w:rPr>
                <w:rFonts w:ascii="Aptos" w:hAnsi="Aptos" w:cs="Times New Roman"/>
                <w:b/>
                <w:bCs/>
                <w:sz w:val="24"/>
                <w:szCs w:val="24"/>
              </w:rPr>
              <w:t>ITLE</w:t>
            </w:r>
            <w:r>
              <w:rPr>
                <w:rFonts w:ascii="Aptos" w:hAnsi="Aptos" w:cs="Times New Roman"/>
                <w:sz w:val="24"/>
                <w:szCs w:val="24"/>
              </w:rPr>
              <w:t>:</w:t>
            </w:r>
          </w:p>
          <w:p w14:paraId="5DE7D666" w14:textId="77777777" w:rsidR="00264E61" w:rsidRPr="00440463" w:rsidRDefault="00264E61" w:rsidP="003674A3">
            <w:pPr>
              <w:spacing w:after="0"/>
              <w:rPr>
                <w:rFonts w:ascii="Aptos" w:hAnsi="Aptos" w:cs="Times New Roman"/>
                <w:sz w:val="24"/>
                <w:szCs w:val="24"/>
              </w:rPr>
            </w:pPr>
            <w:r w:rsidRPr="00440463">
              <w:rPr>
                <w:rFonts w:ascii="Aptos" w:hAnsi="Aptos" w:cs="Times New Roman"/>
                <w:sz w:val="24"/>
                <w:szCs w:val="24"/>
              </w:rPr>
              <w:t xml:space="preserve">Applicants should outline </w:t>
            </w:r>
            <w:r>
              <w:rPr>
                <w:rFonts w:ascii="Aptos" w:hAnsi="Aptos" w:cs="Times New Roman"/>
                <w:sz w:val="24"/>
                <w:szCs w:val="24"/>
              </w:rPr>
              <w:t>the following</w:t>
            </w:r>
            <w:r w:rsidRPr="00440463">
              <w:rPr>
                <w:rFonts w:ascii="Aptos" w:hAnsi="Aptos" w:cs="Times New Roman"/>
                <w:sz w:val="24"/>
                <w:szCs w:val="24"/>
              </w:rPr>
              <w:t>:</w:t>
            </w:r>
          </w:p>
          <w:p w14:paraId="2218F846" w14:textId="77777777" w:rsidR="00264E61" w:rsidRPr="00440463" w:rsidRDefault="00264E61" w:rsidP="003674A3">
            <w:pPr>
              <w:spacing w:after="0"/>
              <w:rPr>
                <w:rFonts w:ascii="Aptos" w:hAnsi="Aptos" w:cs="Times New Roman"/>
                <w:sz w:val="24"/>
                <w:szCs w:val="24"/>
              </w:rPr>
            </w:pPr>
            <w:r w:rsidRPr="00440463">
              <w:rPr>
                <w:rFonts w:ascii="Aptos" w:hAnsi="Aptos" w:cs="Times New Roman"/>
                <w:sz w:val="24"/>
                <w:szCs w:val="24"/>
              </w:rPr>
              <w:t>1. Research Vision and O</w:t>
            </w:r>
            <w:r>
              <w:rPr>
                <w:rFonts w:ascii="Aptos" w:hAnsi="Aptos" w:cs="Times New Roman"/>
                <w:sz w:val="24"/>
                <w:szCs w:val="24"/>
              </w:rPr>
              <w:t>b</w:t>
            </w:r>
            <w:r w:rsidRPr="00440463">
              <w:rPr>
                <w:rFonts w:ascii="Aptos" w:hAnsi="Aptos" w:cs="Times New Roman"/>
                <w:sz w:val="24"/>
                <w:szCs w:val="24"/>
              </w:rPr>
              <w:t>jectives</w:t>
            </w:r>
          </w:p>
          <w:p w14:paraId="32F95A84" w14:textId="77777777" w:rsidR="00264E61" w:rsidRPr="00440463" w:rsidRDefault="00264E61" w:rsidP="003674A3">
            <w:pPr>
              <w:spacing w:after="0"/>
              <w:rPr>
                <w:rFonts w:ascii="Aptos" w:hAnsi="Aptos" w:cs="Times New Roman"/>
                <w:sz w:val="24"/>
                <w:szCs w:val="24"/>
              </w:rPr>
            </w:pPr>
            <w:r w:rsidRPr="00440463">
              <w:rPr>
                <w:rFonts w:ascii="Aptos" w:hAnsi="Aptos" w:cs="Times New Roman"/>
                <w:sz w:val="24"/>
                <w:szCs w:val="24"/>
              </w:rPr>
              <w:t>2. Innovation and Advancement Beyond the State of the Art</w:t>
            </w:r>
          </w:p>
          <w:p w14:paraId="23123F90" w14:textId="77777777" w:rsidR="00264E61" w:rsidRPr="00440463" w:rsidRDefault="00264E61" w:rsidP="003674A3">
            <w:pPr>
              <w:spacing w:after="0"/>
              <w:rPr>
                <w:rFonts w:ascii="Aptos" w:hAnsi="Aptos" w:cs="Times New Roman"/>
                <w:sz w:val="24"/>
                <w:szCs w:val="24"/>
              </w:rPr>
            </w:pPr>
            <w:r w:rsidRPr="00440463">
              <w:rPr>
                <w:rFonts w:ascii="Aptos" w:hAnsi="Aptos" w:cs="Times New Roman"/>
                <w:sz w:val="24"/>
                <w:szCs w:val="24"/>
              </w:rPr>
              <w:t>3. Methodology and Feasibility</w:t>
            </w:r>
          </w:p>
          <w:p w14:paraId="0E1D4757" w14:textId="77777777" w:rsidR="00264E61" w:rsidRDefault="00264E61" w:rsidP="003674A3">
            <w:pPr>
              <w:spacing w:after="0"/>
              <w:rPr>
                <w:rFonts w:ascii="Aptos" w:hAnsi="Aptos" w:cs="Times New Roman"/>
                <w:sz w:val="24"/>
                <w:szCs w:val="24"/>
              </w:rPr>
            </w:pPr>
            <w:r w:rsidRPr="00440463">
              <w:rPr>
                <w:rFonts w:ascii="Aptos" w:hAnsi="Aptos" w:cs="Times New Roman"/>
                <w:sz w:val="24"/>
                <w:szCs w:val="24"/>
              </w:rPr>
              <w:t>4. Work Plan, Milestones and Risk Mitigation</w:t>
            </w:r>
            <w:r>
              <w:rPr>
                <w:rFonts w:ascii="Aptos" w:hAnsi="Aptos" w:cs="Times New Roman"/>
                <w:sz w:val="24"/>
                <w:szCs w:val="24"/>
              </w:rPr>
              <w:t>, including:</w:t>
            </w:r>
          </w:p>
          <w:p w14:paraId="144687C9" w14:textId="77777777" w:rsidR="00264E61" w:rsidRDefault="00264E61" w:rsidP="00264E61">
            <w:pPr>
              <w:pStyle w:val="NoSpacing"/>
              <w:numPr>
                <w:ilvl w:val="0"/>
                <w:numId w:val="10"/>
              </w:numPr>
              <w:rPr>
                <w:rFonts w:ascii="Aptos" w:hAnsi="Aptos" w:cs="Times New Roman"/>
                <w:bCs/>
                <w:sz w:val="24"/>
                <w:szCs w:val="24"/>
                <w:lang w:val="en-GB"/>
              </w:rPr>
            </w:pPr>
            <w:r w:rsidRPr="00911277">
              <w:rPr>
                <w:rFonts w:ascii="Aptos" w:hAnsi="Aptos" w:cs="Calibri"/>
                <w:bCs/>
                <w:sz w:val="24"/>
                <w:szCs w:val="24"/>
                <w:lang w:val="en-GB" w:eastAsia="ja-JP"/>
              </w:rPr>
              <w:t xml:space="preserve">Details of the </w:t>
            </w:r>
            <w:r w:rsidRPr="00911277">
              <w:rPr>
                <w:rFonts w:ascii="Aptos" w:hAnsi="Aptos" w:cs="Times New Roman"/>
                <w:bCs/>
                <w:sz w:val="24"/>
                <w:szCs w:val="24"/>
                <w:lang w:val="en-GB"/>
              </w:rPr>
              <w:t>outgoing</w:t>
            </w:r>
            <w:r w:rsidRPr="005D444A">
              <w:rPr>
                <w:rFonts w:ascii="Aptos" w:hAnsi="Aptos" w:cs="Times New Roman"/>
                <w:bCs/>
                <w:sz w:val="24"/>
                <w:szCs w:val="24"/>
                <w:lang w:val="en-GB"/>
              </w:rPr>
              <w:t xml:space="preserve"> </w:t>
            </w:r>
            <w:r w:rsidRPr="00B73162">
              <w:rPr>
                <w:rFonts w:ascii="Aptos" w:hAnsi="Aptos" w:cs="Times New Roman"/>
                <w:bCs/>
                <w:sz w:val="24"/>
                <w:szCs w:val="24"/>
                <w:lang w:val="en-GB"/>
              </w:rPr>
              <w:t xml:space="preserve">phase </w:t>
            </w:r>
            <w:r w:rsidRPr="00B73162">
              <w:rPr>
                <w:rFonts w:ascii="Aptos" w:hAnsi="Aptos" w:cs="Calibri"/>
                <w:bCs/>
                <w:sz w:val="24"/>
                <w:szCs w:val="24"/>
                <w:lang w:val="en-GB"/>
              </w:rPr>
              <w:t>(i.e. the first 12 to 24 months)</w:t>
            </w:r>
            <w:r w:rsidRPr="00B73162">
              <w:rPr>
                <w:rFonts w:ascii="Aptos" w:hAnsi="Aptos" w:cs="Times New Roman"/>
                <w:bCs/>
                <w:sz w:val="24"/>
                <w:szCs w:val="24"/>
                <w:lang w:val="en-GB"/>
              </w:rPr>
              <w:t xml:space="preserve"> in the</w:t>
            </w:r>
            <w:r w:rsidRPr="005D444A">
              <w:rPr>
                <w:rFonts w:ascii="Aptos" w:hAnsi="Aptos" w:cs="Times New Roman"/>
                <w:bCs/>
                <w:sz w:val="24"/>
                <w:szCs w:val="24"/>
                <w:lang w:val="en-GB"/>
              </w:rPr>
              <w:t xml:space="preserve"> non-associated Third Country</w:t>
            </w:r>
            <w:r>
              <w:rPr>
                <w:rFonts w:ascii="Aptos" w:hAnsi="Aptos" w:cs="Times New Roman"/>
                <w:bCs/>
                <w:sz w:val="24"/>
                <w:szCs w:val="24"/>
                <w:lang w:val="en-GB"/>
              </w:rPr>
              <w:t>, if you have identified a host</w:t>
            </w:r>
            <w:r w:rsidRPr="005D444A">
              <w:rPr>
                <w:rFonts w:ascii="Aptos" w:hAnsi="Aptos" w:cs="Times New Roman"/>
                <w:bCs/>
                <w:sz w:val="24"/>
                <w:szCs w:val="24"/>
                <w:lang w:val="en-GB"/>
              </w:rPr>
              <w:t xml:space="preserve"> (for Global Fellowships only)</w:t>
            </w:r>
          </w:p>
          <w:p w14:paraId="70D3DFD1" w14:textId="77777777" w:rsidR="00264E61" w:rsidRPr="003016EA" w:rsidRDefault="00264E61" w:rsidP="00264E61">
            <w:pPr>
              <w:pStyle w:val="NoSpacing"/>
              <w:numPr>
                <w:ilvl w:val="0"/>
                <w:numId w:val="10"/>
              </w:numPr>
              <w:rPr>
                <w:rFonts w:ascii="Aptos" w:hAnsi="Aptos" w:cs="Times New Roman"/>
                <w:bCs/>
                <w:sz w:val="24"/>
                <w:szCs w:val="24"/>
                <w:lang w:val="en-GB"/>
              </w:rPr>
            </w:pPr>
            <w:r w:rsidRPr="003016EA">
              <w:rPr>
                <w:rFonts w:ascii="Aptos" w:hAnsi="Aptos" w:cs="Times New Roman"/>
                <w:bCs/>
                <w:sz w:val="24"/>
                <w:szCs w:val="24"/>
                <w:lang w:val="en-GB"/>
              </w:rPr>
              <w:t xml:space="preserve">Details of any (optional) secondment(s), which </w:t>
            </w:r>
            <w:r w:rsidRPr="003016EA">
              <w:rPr>
                <w:rFonts w:ascii="Aptos" w:hAnsi="Aptos" w:cs="Calibri"/>
                <w:sz w:val="24"/>
                <w:szCs w:val="24"/>
                <w:lang w:val="en-GB"/>
              </w:rPr>
              <w:t>can last up to 1/3 of the fellowship duration and take place at any time during the 24 months.</w:t>
            </w:r>
          </w:p>
          <w:p w14:paraId="0B3E3ECE" w14:textId="77777777" w:rsidR="00264E61" w:rsidRPr="00864D4B" w:rsidRDefault="00264E61" w:rsidP="00264E61">
            <w:pPr>
              <w:pStyle w:val="NoSpacing"/>
              <w:numPr>
                <w:ilvl w:val="0"/>
                <w:numId w:val="10"/>
              </w:numPr>
              <w:rPr>
                <w:rFonts w:ascii="Aptos" w:hAnsi="Aptos" w:cs="Calibri"/>
                <w:bCs/>
                <w:sz w:val="24"/>
                <w:szCs w:val="24"/>
                <w:lang w:val="en-GB"/>
              </w:rPr>
            </w:pPr>
            <w:r w:rsidRPr="00864D4B">
              <w:rPr>
                <w:rFonts w:ascii="Aptos" w:hAnsi="Aptos" w:cs="Times New Roman"/>
                <w:bCs/>
                <w:sz w:val="24"/>
                <w:szCs w:val="24"/>
                <w:lang w:val="en-GB"/>
              </w:rPr>
              <w:t xml:space="preserve">Details of any (optional) non-academic placement, which </w:t>
            </w:r>
            <w:r w:rsidRPr="00864D4B">
              <w:rPr>
                <w:rFonts w:ascii="Aptos" w:hAnsi="Aptos" w:cs="Calibri"/>
                <w:sz w:val="24"/>
                <w:szCs w:val="24"/>
                <w:lang w:val="en-GB"/>
              </w:rPr>
              <w:t>may take place at the end of the fellowship for an additional period of up to 6 months in an organisation from the non-academic sector established in an EU Member State or Horizon Europe Associated Country.</w:t>
            </w:r>
          </w:p>
          <w:p w14:paraId="6DFC0B46" w14:textId="77777777" w:rsidR="00264E61" w:rsidRPr="00440463" w:rsidRDefault="00264E61" w:rsidP="003674A3">
            <w:pPr>
              <w:spacing w:after="0"/>
              <w:rPr>
                <w:rFonts w:ascii="Aptos" w:hAnsi="Aptos" w:cs="Times New Roman"/>
                <w:sz w:val="24"/>
                <w:szCs w:val="24"/>
              </w:rPr>
            </w:pPr>
            <w:r>
              <w:rPr>
                <w:rFonts w:ascii="Aptos" w:hAnsi="Aptos" w:cs="Times New Roman"/>
                <w:sz w:val="24"/>
                <w:szCs w:val="24"/>
              </w:rPr>
              <w:t>5</w:t>
            </w:r>
            <w:r w:rsidRPr="00440463">
              <w:rPr>
                <w:rFonts w:ascii="Aptos" w:hAnsi="Aptos" w:cs="Times New Roman"/>
                <w:sz w:val="24"/>
                <w:szCs w:val="24"/>
              </w:rPr>
              <w:t>. Impact (Scientific, Societal, Economic, Policy, Cultural etc.)</w:t>
            </w:r>
          </w:p>
          <w:p w14:paraId="79495D3C" w14:textId="77777777" w:rsidR="00264E61" w:rsidRDefault="00264E61" w:rsidP="003674A3">
            <w:pPr>
              <w:spacing w:after="0"/>
              <w:rPr>
                <w:rFonts w:ascii="Aptos" w:hAnsi="Aptos" w:cs="Times New Roman"/>
                <w:sz w:val="24"/>
                <w:szCs w:val="24"/>
              </w:rPr>
            </w:pPr>
            <w:r>
              <w:rPr>
                <w:rFonts w:ascii="Aptos" w:hAnsi="Aptos" w:cs="Times New Roman"/>
                <w:sz w:val="24"/>
                <w:szCs w:val="24"/>
              </w:rPr>
              <w:t>6</w:t>
            </w:r>
            <w:r w:rsidRPr="00440463">
              <w:rPr>
                <w:rFonts w:ascii="Aptos" w:hAnsi="Aptos" w:cs="Times New Roman"/>
                <w:sz w:val="24"/>
                <w:szCs w:val="24"/>
              </w:rPr>
              <w:t>. Training and Career Development Strategy</w:t>
            </w:r>
          </w:p>
          <w:p w14:paraId="0E8ABAB7" w14:textId="77777777" w:rsidR="00264E61" w:rsidRDefault="00264E61" w:rsidP="003674A3">
            <w:pPr>
              <w:spacing w:after="0"/>
              <w:rPr>
                <w:rFonts w:ascii="Aptos" w:hAnsi="Aptos" w:cs="Times New Roman"/>
                <w:sz w:val="24"/>
                <w:szCs w:val="24"/>
              </w:rPr>
            </w:pPr>
          </w:p>
          <w:p w14:paraId="7B29B1F4" w14:textId="77777777" w:rsidR="00264E61" w:rsidRDefault="00264E61" w:rsidP="003674A3">
            <w:pPr>
              <w:spacing w:after="0"/>
              <w:rPr>
                <w:rFonts w:ascii="Aptos" w:hAnsi="Aptos" w:cs="Times New Roman"/>
                <w:sz w:val="24"/>
                <w:szCs w:val="24"/>
              </w:rPr>
            </w:pPr>
          </w:p>
          <w:p w14:paraId="099CD5AE" w14:textId="77777777" w:rsidR="00264E61" w:rsidRDefault="00264E61" w:rsidP="003674A3">
            <w:pPr>
              <w:spacing w:after="0"/>
              <w:rPr>
                <w:rFonts w:ascii="Aptos" w:hAnsi="Aptos" w:cs="Times New Roman"/>
                <w:sz w:val="24"/>
                <w:szCs w:val="24"/>
              </w:rPr>
            </w:pPr>
          </w:p>
          <w:p w14:paraId="60BE2763" w14:textId="77777777" w:rsidR="00264E61" w:rsidRDefault="00264E61" w:rsidP="003674A3">
            <w:pPr>
              <w:spacing w:after="0"/>
              <w:rPr>
                <w:rFonts w:ascii="Aptos" w:hAnsi="Aptos" w:cs="Times New Roman"/>
                <w:sz w:val="24"/>
                <w:szCs w:val="24"/>
              </w:rPr>
            </w:pPr>
          </w:p>
          <w:p w14:paraId="79F9DD20" w14:textId="77777777" w:rsidR="00264E61" w:rsidRDefault="00264E61" w:rsidP="003674A3">
            <w:pPr>
              <w:spacing w:after="0"/>
              <w:rPr>
                <w:rFonts w:ascii="Aptos" w:hAnsi="Aptos" w:cs="Times New Roman"/>
                <w:sz w:val="24"/>
                <w:szCs w:val="24"/>
              </w:rPr>
            </w:pPr>
          </w:p>
          <w:p w14:paraId="01A4FE81" w14:textId="77777777" w:rsidR="00264E61" w:rsidRDefault="00264E61" w:rsidP="003674A3">
            <w:pPr>
              <w:spacing w:after="0"/>
              <w:rPr>
                <w:rFonts w:ascii="Aptos" w:hAnsi="Aptos" w:cs="Times New Roman"/>
                <w:sz w:val="24"/>
                <w:szCs w:val="24"/>
              </w:rPr>
            </w:pPr>
          </w:p>
          <w:p w14:paraId="31C4414D" w14:textId="77777777" w:rsidR="00264E61" w:rsidRDefault="00264E61" w:rsidP="003674A3">
            <w:pPr>
              <w:spacing w:after="0"/>
              <w:rPr>
                <w:rFonts w:ascii="Aptos" w:hAnsi="Aptos" w:cs="Times New Roman"/>
                <w:sz w:val="24"/>
                <w:szCs w:val="24"/>
              </w:rPr>
            </w:pPr>
          </w:p>
          <w:p w14:paraId="510A07C8" w14:textId="77777777" w:rsidR="00264E61" w:rsidRDefault="00264E61" w:rsidP="003674A3">
            <w:pPr>
              <w:spacing w:after="0"/>
              <w:rPr>
                <w:rFonts w:ascii="Aptos" w:hAnsi="Aptos" w:cs="Times New Roman"/>
                <w:sz w:val="24"/>
                <w:szCs w:val="24"/>
              </w:rPr>
            </w:pPr>
          </w:p>
          <w:p w14:paraId="08D95CB6" w14:textId="77777777" w:rsidR="00264E61" w:rsidRDefault="00264E61" w:rsidP="003674A3">
            <w:pPr>
              <w:spacing w:after="0"/>
              <w:rPr>
                <w:rFonts w:ascii="Aptos" w:hAnsi="Aptos" w:cs="Times New Roman"/>
                <w:sz w:val="24"/>
                <w:szCs w:val="24"/>
              </w:rPr>
            </w:pPr>
          </w:p>
          <w:p w14:paraId="15C67435" w14:textId="77777777" w:rsidR="00264E61" w:rsidRDefault="00264E61" w:rsidP="003674A3">
            <w:pPr>
              <w:spacing w:after="0"/>
              <w:rPr>
                <w:rFonts w:ascii="Aptos" w:hAnsi="Aptos" w:cs="Times New Roman"/>
                <w:sz w:val="24"/>
                <w:szCs w:val="24"/>
              </w:rPr>
            </w:pPr>
          </w:p>
          <w:p w14:paraId="7964D0AB" w14:textId="77777777" w:rsidR="00264E61" w:rsidRDefault="00264E61" w:rsidP="003674A3">
            <w:pPr>
              <w:spacing w:after="0"/>
              <w:rPr>
                <w:rFonts w:ascii="Aptos" w:hAnsi="Aptos" w:cs="Times New Roman"/>
                <w:sz w:val="24"/>
                <w:szCs w:val="24"/>
              </w:rPr>
            </w:pPr>
          </w:p>
          <w:p w14:paraId="2BA631E6" w14:textId="77777777" w:rsidR="00264E61" w:rsidRDefault="00264E61" w:rsidP="003674A3">
            <w:pPr>
              <w:spacing w:after="0"/>
              <w:rPr>
                <w:rFonts w:ascii="Aptos" w:hAnsi="Aptos" w:cs="Times New Roman"/>
                <w:sz w:val="24"/>
                <w:szCs w:val="24"/>
              </w:rPr>
            </w:pPr>
          </w:p>
          <w:p w14:paraId="21D50F1C" w14:textId="77777777" w:rsidR="00264E61" w:rsidRDefault="00264E61" w:rsidP="003674A3">
            <w:pPr>
              <w:spacing w:after="0"/>
              <w:rPr>
                <w:rFonts w:ascii="Aptos" w:hAnsi="Aptos" w:cs="Times New Roman"/>
                <w:sz w:val="24"/>
                <w:szCs w:val="24"/>
              </w:rPr>
            </w:pPr>
          </w:p>
          <w:p w14:paraId="05B174C0" w14:textId="77777777" w:rsidR="00264E61" w:rsidRDefault="00264E61" w:rsidP="003674A3">
            <w:pPr>
              <w:spacing w:after="0"/>
              <w:rPr>
                <w:rFonts w:ascii="Aptos" w:hAnsi="Aptos" w:cs="Times New Roman"/>
                <w:sz w:val="24"/>
                <w:szCs w:val="24"/>
              </w:rPr>
            </w:pPr>
          </w:p>
          <w:p w14:paraId="03D8997C" w14:textId="77777777" w:rsidR="00264E61" w:rsidRDefault="00264E61" w:rsidP="003674A3">
            <w:pPr>
              <w:spacing w:after="0"/>
              <w:rPr>
                <w:rFonts w:ascii="Aptos" w:hAnsi="Aptos" w:cs="Times New Roman"/>
                <w:sz w:val="24"/>
                <w:szCs w:val="24"/>
              </w:rPr>
            </w:pPr>
          </w:p>
          <w:p w14:paraId="2784D236" w14:textId="77777777" w:rsidR="00264E61" w:rsidRDefault="00264E61" w:rsidP="003674A3">
            <w:pPr>
              <w:spacing w:after="0"/>
              <w:rPr>
                <w:rFonts w:ascii="Aptos" w:hAnsi="Aptos" w:cs="Times New Roman"/>
                <w:sz w:val="24"/>
                <w:szCs w:val="24"/>
              </w:rPr>
            </w:pPr>
          </w:p>
          <w:p w14:paraId="2D8122E2" w14:textId="77777777" w:rsidR="00264E61" w:rsidRDefault="00264E61" w:rsidP="003674A3">
            <w:pPr>
              <w:spacing w:after="0"/>
              <w:rPr>
                <w:rFonts w:ascii="Aptos" w:hAnsi="Aptos" w:cs="Times New Roman"/>
                <w:sz w:val="24"/>
                <w:szCs w:val="24"/>
              </w:rPr>
            </w:pPr>
          </w:p>
          <w:p w14:paraId="4E23F398" w14:textId="77777777" w:rsidR="00264E61" w:rsidRDefault="00264E61" w:rsidP="003674A3">
            <w:pPr>
              <w:spacing w:after="0"/>
              <w:rPr>
                <w:rFonts w:ascii="Aptos" w:hAnsi="Aptos" w:cs="Times New Roman"/>
                <w:sz w:val="24"/>
                <w:szCs w:val="24"/>
              </w:rPr>
            </w:pPr>
          </w:p>
          <w:p w14:paraId="5444F099" w14:textId="77777777" w:rsidR="00264E61" w:rsidRDefault="00264E61" w:rsidP="003674A3">
            <w:pPr>
              <w:spacing w:after="0"/>
              <w:rPr>
                <w:rFonts w:ascii="Aptos" w:hAnsi="Aptos" w:cs="Times New Roman"/>
                <w:sz w:val="24"/>
                <w:szCs w:val="24"/>
              </w:rPr>
            </w:pPr>
          </w:p>
          <w:p w14:paraId="73CF0A60" w14:textId="77777777" w:rsidR="00264E61" w:rsidRDefault="00264E61" w:rsidP="003674A3">
            <w:pPr>
              <w:spacing w:after="0"/>
              <w:rPr>
                <w:rFonts w:ascii="Aptos" w:hAnsi="Aptos" w:cs="Times New Roman"/>
                <w:sz w:val="24"/>
                <w:szCs w:val="24"/>
              </w:rPr>
            </w:pPr>
          </w:p>
          <w:p w14:paraId="68CDFB2F" w14:textId="77777777" w:rsidR="00264E61" w:rsidRDefault="00264E61" w:rsidP="003674A3">
            <w:pPr>
              <w:spacing w:after="0"/>
              <w:rPr>
                <w:rFonts w:ascii="Aptos" w:hAnsi="Aptos" w:cs="Times New Roman"/>
                <w:sz w:val="24"/>
                <w:szCs w:val="24"/>
              </w:rPr>
            </w:pPr>
          </w:p>
          <w:p w14:paraId="412A3315" w14:textId="77777777" w:rsidR="00264E61" w:rsidRDefault="00264E61" w:rsidP="003674A3">
            <w:pPr>
              <w:spacing w:after="0"/>
              <w:rPr>
                <w:rFonts w:ascii="Aptos" w:hAnsi="Aptos" w:cs="Times New Roman"/>
                <w:sz w:val="24"/>
                <w:szCs w:val="24"/>
              </w:rPr>
            </w:pPr>
          </w:p>
          <w:p w14:paraId="0AF693E2" w14:textId="77777777" w:rsidR="00264E61" w:rsidRDefault="00264E61" w:rsidP="003674A3">
            <w:pPr>
              <w:spacing w:after="0"/>
              <w:rPr>
                <w:rFonts w:ascii="Aptos" w:hAnsi="Aptos" w:cs="Times New Roman"/>
                <w:sz w:val="24"/>
                <w:szCs w:val="24"/>
              </w:rPr>
            </w:pPr>
          </w:p>
          <w:p w14:paraId="3094041E" w14:textId="77777777" w:rsidR="00264E61" w:rsidRDefault="00264E61" w:rsidP="003674A3">
            <w:pPr>
              <w:spacing w:after="0"/>
              <w:rPr>
                <w:rFonts w:ascii="Aptos" w:hAnsi="Aptos" w:cs="Times New Roman"/>
                <w:sz w:val="24"/>
                <w:szCs w:val="24"/>
              </w:rPr>
            </w:pPr>
          </w:p>
          <w:p w14:paraId="396EC386" w14:textId="77777777" w:rsidR="00264E61" w:rsidRDefault="00264E61" w:rsidP="003674A3">
            <w:pPr>
              <w:spacing w:after="0"/>
              <w:rPr>
                <w:rFonts w:ascii="Aptos" w:hAnsi="Aptos" w:cs="Times New Roman"/>
                <w:sz w:val="24"/>
                <w:szCs w:val="24"/>
              </w:rPr>
            </w:pPr>
          </w:p>
          <w:p w14:paraId="694FB03D" w14:textId="77777777" w:rsidR="00264E61" w:rsidRDefault="00264E61" w:rsidP="003674A3">
            <w:pPr>
              <w:spacing w:after="0"/>
              <w:rPr>
                <w:rFonts w:ascii="Aptos" w:hAnsi="Aptos" w:cs="Times New Roman"/>
                <w:sz w:val="24"/>
                <w:szCs w:val="24"/>
              </w:rPr>
            </w:pPr>
          </w:p>
          <w:p w14:paraId="3128F5B8" w14:textId="77777777" w:rsidR="00264E61" w:rsidRDefault="00264E61" w:rsidP="003674A3">
            <w:pPr>
              <w:spacing w:after="0"/>
              <w:rPr>
                <w:rFonts w:ascii="Aptos" w:hAnsi="Aptos" w:cs="Times New Roman"/>
                <w:sz w:val="24"/>
                <w:szCs w:val="24"/>
              </w:rPr>
            </w:pPr>
          </w:p>
          <w:p w14:paraId="0B675A5B" w14:textId="77777777" w:rsidR="00264E61" w:rsidRDefault="00264E61" w:rsidP="003674A3">
            <w:pPr>
              <w:spacing w:after="0"/>
              <w:rPr>
                <w:rFonts w:ascii="Aptos" w:hAnsi="Aptos" w:cs="Times New Roman"/>
                <w:sz w:val="24"/>
                <w:szCs w:val="24"/>
              </w:rPr>
            </w:pPr>
          </w:p>
          <w:p w14:paraId="1702059D" w14:textId="77777777" w:rsidR="00264E61" w:rsidRPr="00440463" w:rsidRDefault="00264E61" w:rsidP="003674A3">
            <w:pPr>
              <w:spacing w:after="0"/>
              <w:rPr>
                <w:rFonts w:ascii="Aptos" w:hAnsi="Aptos" w:cs="Times New Roman"/>
                <w:sz w:val="24"/>
                <w:szCs w:val="24"/>
              </w:rPr>
            </w:pPr>
          </w:p>
        </w:tc>
      </w:tr>
    </w:tbl>
    <w:p w14:paraId="253743B5" w14:textId="77777777" w:rsidR="00264E61" w:rsidRDefault="00264E61" w:rsidP="00264E61">
      <w:pPr>
        <w:spacing w:after="0"/>
        <w:rPr>
          <w:rFonts w:ascii="Aptos" w:hAnsi="Aptos" w:cs="Times New Roman"/>
          <w:sz w:val="24"/>
          <w:szCs w:val="24"/>
        </w:rPr>
      </w:pPr>
    </w:p>
    <w:p w14:paraId="542D365E" w14:textId="77777777" w:rsidR="00264E61" w:rsidRPr="00F149C4" w:rsidRDefault="00264E61" w:rsidP="00F149C4">
      <w:pPr>
        <w:pStyle w:val="Heading2"/>
      </w:pPr>
      <w:r w:rsidRPr="00F149C4">
        <w:t>5. CV (Max 3 pages) MANDATORY</w:t>
      </w:r>
    </w:p>
    <w:p w14:paraId="658B9627" w14:textId="77777777" w:rsidR="00264E61" w:rsidRDefault="00264E61" w:rsidP="00264E61">
      <w:pPr>
        <w:spacing w:after="0"/>
        <w:rPr>
          <w:rFonts w:ascii="Aptos" w:hAnsi="Aptos" w:cs="Times New Roman"/>
          <w:sz w:val="24"/>
          <w:szCs w:val="24"/>
        </w:rPr>
      </w:pPr>
    </w:p>
    <w:p w14:paraId="370C467D" w14:textId="77777777" w:rsidR="00264E61" w:rsidRDefault="00264E61" w:rsidP="00264E61">
      <w:pPr>
        <w:spacing w:after="0"/>
        <w:rPr>
          <w:rFonts w:ascii="Aptos" w:hAnsi="Aptos" w:cs="Times New Roman"/>
          <w:sz w:val="24"/>
          <w:szCs w:val="24"/>
        </w:rPr>
      </w:pPr>
      <w:r w:rsidRPr="00440463">
        <w:rPr>
          <w:rFonts w:ascii="Aptos" w:hAnsi="Aptos" w:cs="Times New Roman"/>
          <w:sz w:val="24"/>
          <w:szCs w:val="24"/>
        </w:rPr>
        <w:t xml:space="preserve">Applicants should </w:t>
      </w:r>
      <w:r>
        <w:rPr>
          <w:rFonts w:ascii="Aptos" w:hAnsi="Aptos" w:cs="Times New Roman"/>
          <w:sz w:val="24"/>
          <w:szCs w:val="24"/>
        </w:rPr>
        <w:t>include</w:t>
      </w:r>
      <w:r w:rsidRPr="00440463">
        <w:rPr>
          <w:rFonts w:ascii="Aptos" w:hAnsi="Aptos" w:cs="Times New Roman"/>
          <w:sz w:val="24"/>
          <w:szCs w:val="24"/>
        </w:rPr>
        <w:t xml:space="preserve"> the following </w:t>
      </w:r>
      <w:r>
        <w:rPr>
          <w:rFonts w:ascii="Aptos" w:hAnsi="Aptos" w:cs="Times New Roman"/>
          <w:sz w:val="24"/>
          <w:szCs w:val="24"/>
        </w:rPr>
        <w:t>info</w:t>
      </w:r>
      <w:r w:rsidRPr="00440463">
        <w:rPr>
          <w:rFonts w:ascii="Aptos" w:hAnsi="Aptos" w:cs="Times New Roman"/>
          <w:sz w:val="24"/>
          <w:szCs w:val="24"/>
        </w:rPr>
        <w:t>:</w:t>
      </w:r>
    </w:p>
    <w:p w14:paraId="6CF8E799" w14:textId="77777777" w:rsidR="00264E61" w:rsidRPr="0090205E" w:rsidRDefault="00264E61" w:rsidP="00264E61">
      <w:pPr>
        <w:pStyle w:val="ListParagraph"/>
        <w:numPr>
          <w:ilvl w:val="0"/>
          <w:numId w:val="9"/>
        </w:numPr>
        <w:spacing w:after="0"/>
        <w:rPr>
          <w:rFonts w:ascii="Aptos" w:hAnsi="Aptos" w:cs="Times New Roman"/>
          <w:sz w:val="24"/>
          <w:szCs w:val="24"/>
        </w:rPr>
      </w:pPr>
      <w:r w:rsidRPr="0090205E">
        <w:rPr>
          <w:rFonts w:ascii="Aptos" w:hAnsi="Aptos" w:cs="Times New Roman"/>
          <w:sz w:val="24"/>
          <w:szCs w:val="24"/>
        </w:rPr>
        <w:t xml:space="preserve">Academic background </w:t>
      </w:r>
    </w:p>
    <w:p w14:paraId="23D9CFA5" w14:textId="77777777" w:rsidR="00264E61" w:rsidRPr="0090205E" w:rsidRDefault="00264E61" w:rsidP="00264E61">
      <w:pPr>
        <w:pStyle w:val="ListParagraph"/>
        <w:numPr>
          <w:ilvl w:val="0"/>
          <w:numId w:val="9"/>
        </w:numPr>
        <w:spacing w:after="0"/>
        <w:rPr>
          <w:rFonts w:ascii="Aptos" w:hAnsi="Aptos" w:cs="Times New Roman"/>
          <w:sz w:val="24"/>
          <w:szCs w:val="24"/>
        </w:rPr>
      </w:pPr>
      <w:r w:rsidRPr="0090205E">
        <w:rPr>
          <w:rFonts w:ascii="Aptos" w:hAnsi="Aptos" w:cs="Times New Roman"/>
          <w:sz w:val="24"/>
          <w:szCs w:val="24"/>
        </w:rPr>
        <w:t xml:space="preserve">Research experience </w:t>
      </w:r>
    </w:p>
    <w:p w14:paraId="75FFB88B" w14:textId="77777777" w:rsidR="00264E61" w:rsidRPr="0090205E" w:rsidRDefault="00264E61" w:rsidP="00264E61">
      <w:pPr>
        <w:pStyle w:val="ListParagraph"/>
        <w:numPr>
          <w:ilvl w:val="0"/>
          <w:numId w:val="9"/>
        </w:numPr>
        <w:spacing w:after="0"/>
        <w:rPr>
          <w:rFonts w:ascii="Aptos" w:hAnsi="Aptos" w:cs="Times New Roman"/>
          <w:sz w:val="24"/>
          <w:szCs w:val="24"/>
        </w:rPr>
      </w:pPr>
      <w:r w:rsidRPr="0090205E">
        <w:rPr>
          <w:rFonts w:ascii="Aptos" w:hAnsi="Aptos" w:cs="Times New Roman"/>
          <w:sz w:val="24"/>
          <w:szCs w:val="24"/>
        </w:rPr>
        <w:t>Professional achievements (key scientific contributions, funding track record, leadership and mentoring experience, engagement with academic and non-academic stakeholders)</w:t>
      </w:r>
    </w:p>
    <w:p w14:paraId="6E5790E6" w14:textId="77777777" w:rsidR="00264E61" w:rsidRDefault="00264E61" w:rsidP="00264E61">
      <w:pPr>
        <w:spacing w:after="0"/>
        <w:rPr>
          <w:rFonts w:ascii="Aptos" w:hAnsi="Aptos" w:cs="Times New Roman"/>
          <w:b/>
          <w:bCs/>
          <w:color w:val="1F497D" w:themeColor="text2"/>
          <w:sz w:val="24"/>
          <w:szCs w:val="24"/>
        </w:rPr>
      </w:pPr>
      <w:r w:rsidRPr="0090205E">
        <w:rPr>
          <w:rFonts w:ascii="Aptos" w:hAnsi="Aptos" w:cs="Times New Roman"/>
          <w:b/>
          <w:bCs/>
          <w:color w:val="1F497D" w:themeColor="text2"/>
          <w:sz w:val="24"/>
          <w:szCs w:val="24"/>
        </w:rPr>
        <w:t xml:space="preserve"> </w:t>
      </w:r>
    </w:p>
    <w:p w14:paraId="305EB0AE" w14:textId="77777777" w:rsidR="00264E61" w:rsidRDefault="00264E61" w:rsidP="00264E61">
      <w:pPr>
        <w:rPr>
          <w:rFonts w:ascii="Aptos" w:hAnsi="Aptos" w:cs="Times New Roman"/>
          <w:b/>
          <w:bCs/>
          <w:color w:val="1F497D" w:themeColor="text2"/>
          <w:sz w:val="24"/>
          <w:szCs w:val="24"/>
        </w:rPr>
      </w:pPr>
      <w:r>
        <w:rPr>
          <w:rFonts w:ascii="Aptos" w:hAnsi="Aptos" w:cs="Times New Roman"/>
          <w:b/>
          <w:bCs/>
          <w:color w:val="1F497D" w:themeColor="text2"/>
          <w:sz w:val="24"/>
          <w:szCs w:val="24"/>
        </w:rPr>
        <w:br w:type="page"/>
      </w:r>
    </w:p>
    <w:p w14:paraId="3BACD70E" w14:textId="77777777" w:rsidR="00264E61" w:rsidRPr="0090205E" w:rsidRDefault="00264E61" w:rsidP="00264E61">
      <w:pPr>
        <w:spacing w:after="0"/>
        <w:rPr>
          <w:rFonts w:ascii="Aptos" w:hAnsi="Aptos" w:cs="Times New Roman"/>
          <w:b/>
          <w:bCs/>
          <w:color w:val="1F497D" w:themeColor="text2"/>
          <w:sz w:val="24"/>
          <w:szCs w:val="24"/>
        </w:rPr>
      </w:pPr>
    </w:p>
    <w:p w14:paraId="70C317BD" w14:textId="77777777" w:rsidR="00264E61" w:rsidRPr="00440463" w:rsidRDefault="00264E61" w:rsidP="00264E61">
      <w:pPr>
        <w:spacing w:after="0"/>
        <w:rPr>
          <w:rFonts w:ascii="Aptos" w:hAnsi="Aptos" w:cs="Times New Roman"/>
          <w:sz w:val="24"/>
          <w:szCs w:val="24"/>
        </w:rPr>
      </w:pPr>
    </w:p>
    <w:p w14:paraId="07729DD5" w14:textId="77777777" w:rsidR="00264E61" w:rsidRPr="00136C6D" w:rsidRDefault="00264E61" w:rsidP="00136C6D">
      <w:pPr>
        <w:pStyle w:val="Heading2"/>
      </w:pPr>
      <w:r w:rsidRPr="00136C6D">
        <w:t>University of Strathclyde Expression of Interest Pro-forma</w:t>
      </w:r>
    </w:p>
    <w:p w14:paraId="531DA4B5" w14:textId="77777777" w:rsidR="00264E61" w:rsidRPr="00136C6D" w:rsidRDefault="00264E61" w:rsidP="00136C6D">
      <w:pPr>
        <w:pStyle w:val="Heading2"/>
        <w:rPr>
          <w:rFonts w:eastAsia="Times New Roman"/>
        </w:rPr>
      </w:pPr>
      <w:r w:rsidRPr="00136C6D">
        <w:rPr>
          <w:rFonts w:eastAsia="Times New Roman"/>
        </w:rPr>
        <w:t>Annex</w:t>
      </w:r>
    </w:p>
    <w:p w14:paraId="334493AA" w14:textId="77777777" w:rsidR="00264E61" w:rsidRPr="00136C6D" w:rsidRDefault="00264E61" w:rsidP="00136C6D">
      <w:pPr>
        <w:pStyle w:val="Heading2"/>
        <w:rPr>
          <w:rFonts w:eastAsia="Times New Roman"/>
        </w:rPr>
      </w:pPr>
      <w:r w:rsidRPr="00136C6D">
        <w:rPr>
          <w:rFonts w:eastAsia="Times New Roman"/>
        </w:rPr>
        <w:t>Research Areas across Faculties</w:t>
      </w:r>
    </w:p>
    <w:p w14:paraId="68E1A76A" w14:textId="77777777" w:rsidR="00264E61" w:rsidRPr="0051487D" w:rsidRDefault="00264E61" w:rsidP="00264E61">
      <w:pPr>
        <w:spacing w:after="0" w:line="240" w:lineRule="auto"/>
        <w:rPr>
          <w:rFonts w:ascii="Calibri" w:eastAsia="Times New Roman" w:hAnsi="Calibri" w:cs="Calibri"/>
          <w:lang w:eastAsia="ja-JP"/>
        </w:rPr>
      </w:pPr>
    </w:p>
    <w:p w14:paraId="33E0725D" w14:textId="77777777" w:rsidR="00264E61" w:rsidRPr="0051487D" w:rsidRDefault="00264E61" w:rsidP="00264E61">
      <w:pPr>
        <w:spacing w:after="0" w:line="240" w:lineRule="auto"/>
        <w:textAlignment w:val="baseline"/>
        <w:rPr>
          <w:rFonts w:ascii="Calibri" w:eastAsia="Times New Roman" w:hAnsi="Calibri" w:cs="Calibri"/>
          <w:b/>
          <w:bCs/>
          <w:color w:val="000066"/>
        </w:rPr>
      </w:pPr>
    </w:p>
    <w:p w14:paraId="44901FFE" w14:textId="77777777" w:rsidR="00264E61" w:rsidRPr="00136C6D" w:rsidRDefault="00264E61" w:rsidP="00136C6D">
      <w:pPr>
        <w:pStyle w:val="Heading3"/>
        <w:rPr>
          <w:lang w:eastAsia="ja-JP"/>
        </w:rPr>
      </w:pPr>
      <w:r w:rsidRPr="00136C6D">
        <w:rPr>
          <w:lang w:eastAsia="ja-JP"/>
        </w:rPr>
        <w:t>Faculty of Engineering</w:t>
      </w:r>
    </w:p>
    <w:p w14:paraId="682834AE" w14:textId="77777777" w:rsidR="00264E61" w:rsidRPr="00C7447E" w:rsidRDefault="00264E61" w:rsidP="00264E61">
      <w:pPr>
        <w:spacing w:after="0" w:line="240" w:lineRule="auto"/>
        <w:rPr>
          <w:rFonts w:ascii="Aptos" w:hAnsi="Aptos" w:cs="Calibri"/>
          <w:b/>
          <w:sz w:val="24"/>
          <w:lang w:eastAsia="ja-JP"/>
        </w:rPr>
      </w:pPr>
    </w:p>
    <w:p w14:paraId="6979D625"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 Sustainable &amp; Net-Zero Infrastructure: </w:t>
      </w:r>
      <w:r w:rsidRPr="00C7447E">
        <w:rPr>
          <w:rFonts w:ascii="Aptos" w:eastAsia="Aptos" w:hAnsi="Aptos" w:cs="Aptos"/>
          <w:sz w:val="22"/>
          <w:szCs w:val="24"/>
        </w:rPr>
        <w:t>Critical infrastructure in a changing climate; sustainable construction; offshore structures; smart shipyards; infrastructure decarbonisation; structural and geotechnical systems; materials for net-zero; digital twins for infrastructure.</w:t>
      </w:r>
    </w:p>
    <w:p w14:paraId="0219289B"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2. Energy Systems &amp; Energy Transition: </w:t>
      </w:r>
      <w:r w:rsidRPr="00C7447E">
        <w:rPr>
          <w:rFonts w:ascii="Aptos" w:eastAsia="Aptos" w:hAnsi="Aptos" w:cs="Aptos"/>
          <w:sz w:val="22"/>
          <w:szCs w:val="24"/>
        </w:rPr>
        <w:t>Integrated energy systems modelling; energy conversion; storage; optimisation; end-use efficiency; thermal energy storage; hydrogen systems; zero-carbon fuels; logistics for clean energy.</w:t>
      </w:r>
    </w:p>
    <w:p w14:paraId="1A3769A6"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3. Renewable &amp; Offshore Energy: </w:t>
      </w:r>
      <w:r w:rsidRPr="00C7447E">
        <w:rPr>
          <w:rFonts w:ascii="Aptos" w:eastAsia="Aptos" w:hAnsi="Aptos" w:cs="Aptos"/>
          <w:sz w:val="22"/>
          <w:szCs w:val="24"/>
        </w:rPr>
        <w:t>Wind, solar, wave and tidal energy; offshore renewables; offshore foundations; offshore hydrodynamics/aerodynamics; wind turbine decommissioning and remanufacturing; zero-carbon fuel production from offshore renewables.</w:t>
      </w:r>
    </w:p>
    <w:p w14:paraId="5ADCC6A5"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4. Hydrogen &amp; Alternative Fuels: </w:t>
      </w:r>
      <w:r w:rsidRPr="00C7447E">
        <w:rPr>
          <w:rFonts w:ascii="Aptos" w:eastAsia="Aptos" w:hAnsi="Aptos" w:cs="Aptos"/>
          <w:sz w:val="22"/>
          <w:szCs w:val="24"/>
        </w:rPr>
        <w:t>Hydrogen production (electrolysis, biomass routes); hydrogen transport and storage; embrittlement mitigation; alternative marine fuels; catalyst regeneration; chemical looping; hydrogen vectors.</w:t>
      </w:r>
    </w:p>
    <w:p w14:paraId="62BD8167"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5. Carbon Capture, Utilisation &amp; Storage (CCS): </w:t>
      </w:r>
      <w:r w:rsidRPr="00C7447E">
        <w:rPr>
          <w:rFonts w:ascii="Aptos" w:eastAsia="Aptos" w:hAnsi="Aptos" w:cs="Aptos"/>
          <w:sz w:val="22"/>
          <w:szCs w:val="24"/>
        </w:rPr>
        <w:t>Adsorption technologies; porous materials; process modelling; carbon aerogels; CO₂ capture systems; advanced carbon materials.</w:t>
      </w:r>
    </w:p>
    <w:p w14:paraId="1B1A47FA"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6. Power &amp; Electrification Technologies: </w:t>
      </w:r>
      <w:r w:rsidRPr="00C7447E">
        <w:rPr>
          <w:rFonts w:ascii="Aptos" w:eastAsia="Aptos" w:hAnsi="Aptos" w:cs="Aptos"/>
          <w:sz w:val="22"/>
          <w:szCs w:val="24"/>
        </w:rPr>
        <w:t>Electrical power systems; high-voltage technologies; power electronics; drives and energy conversion; grid integration; electrified transport; EV systems.</w:t>
      </w:r>
    </w:p>
    <w:p w14:paraId="5A480973"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7. Advanced Communications &amp; Connected Systems: </w:t>
      </w:r>
      <w:r w:rsidRPr="00C7447E">
        <w:rPr>
          <w:rFonts w:ascii="Aptos" w:eastAsia="Aptos" w:hAnsi="Aptos" w:cs="Aptos"/>
          <w:sz w:val="22"/>
          <w:szCs w:val="24"/>
        </w:rPr>
        <w:t>5G and next-generation communications; intelligent dynamic communications; connected technologies; microsystems and photonics.</w:t>
      </w:r>
    </w:p>
    <w:p w14:paraId="189F737F"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8. Artificial Intelligence, Data &amp; Digital Twins: </w:t>
      </w:r>
      <w:r w:rsidRPr="00C7447E">
        <w:rPr>
          <w:rFonts w:ascii="Aptos" w:eastAsia="Aptos" w:hAnsi="Aptos" w:cs="Aptos"/>
          <w:sz w:val="22"/>
          <w:szCs w:val="24"/>
        </w:rPr>
        <w:t>AI, machine learning, analytics; digital twins; AI in maritime transport; generative AI in education; autonomy; intelligent aerospace systems; infrastructure analytics.</w:t>
      </w:r>
    </w:p>
    <w:p w14:paraId="381E8623"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9. Sensing, Imaging &amp; Monitoring Systems: </w:t>
      </w:r>
      <w:r w:rsidRPr="00C7447E">
        <w:rPr>
          <w:rFonts w:ascii="Aptos" w:eastAsia="Aptos" w:hAnsi="Aptos" w:cs="Aptos"/>
          <w:sz w:val="22"/>
          <w:szCs w:val="24"/>
        </w:rPr>
        <w:t>Ultrasonics; eddy current; radar; visual and optical sensing; advanced sensing for nuclear and renewables; signal and image processing; sensing for remediation and diagnostics.</w:t>
      </w:r>
    </w:p>
    <w:p w14:paraId="060CACA2"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10. Robotics, Autonomy &amp; Smart Systems: </w:t>
      </w:r>
      <w:r w:rsidRPr="00C7447E">
        <w:rPr>
          <w:rFonts w:ascii="Aptos" w:eastAsia="Aptos" w:hAnsi="Aptos" w:cs="Aptos"/>
          <w:sz w:val="22"/>
          <w:szCs w:val="24"/>
        </w:rPr>
        <w:t>Guidance, navigation and control; robotics; autonomous marine systems; smart manufacturing; intelligent aerospace; inspection robotics.</w:t>
      </w:r>
    </w:p>
    <w:p w14:paraId="2F477402"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11. Aerospace &amp; Space Systems: </w:t>
      </w:r>
      <w:r w:rsidRPr="00C7447E">
        <w:rPr>
          <w:rFonts w:ascii="Aptos" w:eastAsia="Aptos" w:hAnsi="Aptos" w:cs="Aptos"/>
          <w:sz w:val="22"/>
          <w:szCs w:val="24"/>
        </w:rPr>
        <w:t>Space systems; spaceflight mechanics; aerodynamics; advanced aerospace transport; computational aerodynamics; autonomy in aerospace.</w:t>
      </w:r>
    </w:p>
    <w:p w14:paraId="633A2A32"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12. Maritime &amp; Ocean Engineering: </w:t>
      </w:r>
      <w:r w:rsidRPr="00C7447E">
        <w:rPr>
          <w:rFonts w:ascii="Aptos" w:eastAsia="Aptos" w:hAnsi="Aptos" w:cs="Aptos"/>
          <w:sz w:val="22"/>
          <w:szCs w:val="24"/>
        </w:rPr>
        <w:t>Marine hydrodynamics; maritime transport; safety; human factors; subsea engineering; offshore engineering; smart/autonomous vessels; systems reliability.</w:t>
      </w:r>
    </w:p>
    <w:p w14:paraId="4971A637"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13. Fluid Dynamics &amp; Multiphase Systems: </w:t>
      </w:r>
      <w:r w:rsidRPr="00C7447E">
        <w:rPr>
          <w:rFonts w:ascii="Aptos" w:eastAsia="Aptos" w:hAnsi="Aptos" w:cs="Aptos"/>
          <w:sz w:val="22"/>
          <w:szCs w:val="24"/>
        </w:rPr>
        <w:t>Fundamental flow physics; multiphase and multiscale modelling; heat transfer; granular and complex fluids; thermocapillary flows; high-performance computing simulations.</w:t>
      </w:r>
    </w:p>
    <w:p w14:paraId="280274F5"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14. Advanced Materials &amp; Composites: </w:t>
      </w:r>
      <w:r w:rsidRPr="00C7447E">
        <w:rPr>
          <w:rFonts w:ascii="Aptos" w:eastAsia="Aptos" w:hAnsi="Aptos" w:cs="Aptos"/>
          <w:sz w:val="22"/>
          <w:szCs w:val="24"/>
        </w:rPr>
        <w:t>Composite materials; fibre reinforcement; recycling &amp; sustainable composites; aerogel composites; sustainable materials; structure–processing–performance relationships.</w:t>
      </w:r>
    </w:p>
    <w:p w14:paraId="014DA0D7"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15. Materials Processing &amp; Manufacturing: </w:t>
      </w:r>
      <w:r w:rsidRPr="00C7447E">
        <w:rPr>
          <w:rFonts w:ascii="Aptos" w:eastAsia="Aptos" w:hAnsi="Aptos" w:cs="Aptos"/>
          <w:sz w:val="22"/>
          <w:szCs w:val="24"/>
        </w:rPr>
        <w:t>Fusion and solid-state joining; additive manufacturing (metal &amp; cold spray); nanomanufacturing; lightweighting; surface engineering; tribology; extreme plastic deformation; materials certification.</w:t>
      </w:r>
    </w:p>
    <w:p w14:paraId="1A2016AC"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16. Particle, Colloid &amp; Soft Matter Engineering: </w:t>
      </w:r>
      <w:r w:rsidRPr="00C7447E">
        <w:rPr>
          <w:rFonts w:ascii="Aptos" w:eastAsia="Aptos" w:hAnsi="Aptos" w:cs="Aptos"/>
          <w:sz w:val="22"/>
          <w:szCs w:val="24"/>
        </w:rPr>
        <w:t>Nucleation; crystal growth; colloids; flocculation; powders; fibres; films; multiphase particulate systems; rheology; biomaterials; soot and sediments.</w:t>
      </w:r>
    </w:p>
    <w:p w14:paraId="5C1291A9"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17. Porous, Adsorptive &amp; Functional Materials: </w:t>
      </w:r>
      <w:r w:rsidRPr="00C7447E">
        <w:rPr>
          <w:rFonts w:ascii="Aptos" w:eastAsia="Aptos" w:hAnsi="Aptos" w:cs="Aptos"/>
          <w:sz w:val="22"/>
          <w:szCs w:val="24"/>
        </w:rPr>
        <w:t>Zeolites; MOFs/MOPs; silica; gels; nanocomposites; membranes; hydrogen storage; sensing applications; multi-scale molecular modelling.</w:t>
      </w:r>
    </w:p>
    <w:p w14:paraId="4F6AE92E"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lastRenderedPageBreak/>
        <w:t xml:space="preserve">18. Sustainable Materials &amp; Circular Economy: </w:t>
      </w:r>
      <w:r w:rsidRPr="00C7447E">
        <w:rPr>
          <w:rFonts w:ascii="Aptos" w:eastAsia="Aptos" w:hAnsi="Aptos" w:cs="Aptos"/>
          <w:sz w:val="22"/>
          <w:szCs w:val="24"/>
        </w:rPr>
        <w:t>Bioplastics (alginates, chitin, chitosan, PHAs); plastic recycling (mechanical &amp; chemical); portable waste assessment; sustainable packaging; recycling of composites; circular manufacturing; marine recycling.</w:t>
      </w:r>
    </w:p>
    <w:p w14:paraId="538077B4"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19. Green Chemical &amp; Process Engineering: </w:t>
      </w:r>
      <w:r w:rsidRPr="00C7447E">
        <w:rPr>
          <w:rFonts w:ascii="Aptos" w:eastAsia="Aptos" w:hAnsi="Aptos" w:cs="Aptos"/>
          <w:sz w:val="22"/>
          <w:szCs w:val="24"/>
        </w:rPr>
        <w:t>Green solvents (deep eutectic); solvent minimisation; pharmaceutical process intensification; polymer membranes; clean combustion; pyrolysis; bioenergy; metals processing via hydrogen.</w:t>
      </w:r>
    </w:p>
    <w:p w14:paraId="027D271C"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20. Digital &amp; Smart Manufacturing Systems: </w:t>
      </w:r>
      <w:r w:rsidRPr="00C7447E">
        <w:rPr>
          <w:rFonts w:ascii="Aptos" w:eastAsia="Aptos" w:hAnsi="Aptos" w:cs="Aptos"/>
          <w:sz w:val="22"/>
          <w:szCs w:val="24"/>
        </w:rPr>
        <w:t xml:space="preserve">Industry 4.0; smart manufacturing; </w:t>
      </w:r>
      <w:proofErr w:type="spellStart"/>
      <w:r w:rsidRPr="00C7447E">
        <w:rPr>
          <w:rFonts w:ascii="Aptos" w:eastAsia="Aptos" w:hAnsi="Aptos" w:cs="Aptos"/>
          <w:sz w:val="22"/>
          <w:szCs w:val="24"/>
        </w:rPr>
        <w:t>agritech</w:t>
      </w:r>
      <w:proofErr w:type="spellEnd"/>
      <w:r w:rsidRPr="00C7447E">
        <w:rPr>
          <w:rFonts w:ascii="Aptos" w:eastAsia="Aptos" w:hAnsi="Aptos" w:cs="Aptos"/>
          <w:sz w:val="22"/>
          <w:szCs w:val="24"/>
        </w:rPr>
        <w:t xml:space="preserve"> manufacturing; supply chains; connected production; sustainable production systems.</w:t>
      </w:r>
    </w:p>
    <w:p w14:paraId="1652142C"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21. Medical Devices, Diagnostics &amp; Rehabilitation Technologies: </w:t>
      </w:r>
      <w:r w:rsidRPr="00C7447E">
        <w:rPr>
          <w:rFonts w:ascii="Aptos" w:eastAsia="Aptos" w:hAnsi="Aptos" w:cs="Aptos"/>
          <w:sz w:val="22"/>
          <w:szCs w:val="24"/>
        </w:rPr>
        <w:t xml:space="preserve">Strathclyde Institute of Medical Devices; AI-based rehabilitation; co-creation in rehabilitation tech; digital health; </w:t>
      </w:r>
      <w:proofErr w:type="spellStart"/>
      <w:r w:rsidRPr="00C7447E">
        <w:rPr>
          <w:rFonts w:ascii="Aptos" w:eastAsia="Aptos" w:hAnsi="Aptos" w:cs="Aptos"/>
          <w:sz w:val="22"/>
          <w:szCs w:val="24"/>
        </w:rPr>
        <w:t>medtech</w:t>
      </w:r>
      <w:proofErr w:type="spellEnd"/>
      <w:r w:rsidRPr="00C7447E">
        <w:rPr>
          <w:rFonts w:ascii="Aptos" w:eastAsia="Aptos" w:hAnsi="Aptos" w:cs="Aptos"/>
          <w:sz w:val="22"/>
          <w:szCs w:val="24"/>
        </w:rPr>
        <w:t>; wellbeing; assistive systems.</w:t>
      </w:r>
    </w:p>
    <w:p w14:paraId="65DC9BE6"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22. Cellular, Tissue &amp; Biomechanical Engineering: </w:t>
      </w:r>
      <w:r w:rsidRPr="00C7447E">
        <w:rPr>
          <w:rFonts w:ascii="Aptos" w:eastAsia="Aptos" w:hAnsi="Aptos" w:cs="Aptos"/>
          <w:sz w:val="22"/>
          <w:szCs w:val="24"/>
        </w:rPr>
        <w:t>Cell and tissue engineering; organ engineering; biomechanics; biomaterials; microbiome research; AMR (antimicrobial resistance).</w:t>
      </w:r>
    </w:p>
    <w:p w14:paraId="5B55B513"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23. Public Health, Water &amp; Environmental Systems: </w:t>
      </w:r>
      <w:r w:rsidRPr="00C7447E">
        <w:rPr>
          <w:rFonts w:ascii="Aptos" w:eastAsia="Aptos" w:hAnsi="Aptos" w:cs="Aptos"/>
          <w:sz w:val="22"/>
          <w:szCs w:val="24"/>
        </w:rPr>
        <w:t>Water engineering; environmental sustainability; soil &amp; water microbiome; One Health; remediation; public health engineering.</w:t>
      </w:r>
    </w:p>
    <w:p w14:paraId="021070AC"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24. Ground Engineering &amp; Energy Geosciences: </w:t>
      </w:r>
      <w:r w:rsidRPr="00C7447E">
        <w:rPr>
          <w:rFonts w:ascii="Aptos" w:eastAsia="Aptos" w:hAnsi="Aptos" w:cs="Aptos"/>
          <w:sz w:val="22"/>
          <w:szCs w:val="24"/>
        </w:rPr>
        <w:t>Geotechnical engineering; geothermal systems; subsurface energy; structural integrity; ground–energy interactions.</w:t>
      </w:r>
    </w:p>
    <w:p w14:paraId="4BBF36FF" w14:textId="77777777" w:rsidR="00264E61" w:rsidRPr="00C7447E" w:rsidRDefault="00264E61" w:rsidP="00264E61">
      <w:pPr>
        <w:spacing w:after="0" w:line="240" w:lineRule="auto"/>
        <w:rPr>
          <w:rFonts w:ascii="Aptos" w:eastAsia="Aptos" w:hAnsi="Aptos" w:cs="Aptos"/>
          <w:sz w:val="28"/>
          <w:szCs w:val="28"/>
        </w:rPr>
      </w:pPr>
      <w:r w:rsidRPr="00C7447E">
        <w:rPr>
          <w:rFonts w:ascii="Aptos" w:eastAsia="Aptos" w:hAnsi="Aptos" w:cs="Aptos"/>
          <w:b/>
          <w:bCs/>
          <w:sz w:val="22"/>
          <w:szCs w:val="24"/>
        </w:rPr>
        <w:t xml:space="preserve">25. Urban Design, Architecture &amp; Built Environment: </w:t>
      </w:r>
      <w:r w:rsidRPr="00C7447E">
        <w:rPr>
          <w:rFonts w:ascii="Aptos" w:eastAsia="Aptos" w:hAnsi="Aptos" w:cs="Aptos"/>
          <w:sz w:val="22"/>
          <w:szCs w:val="24"/>
        </w:rPr>
        <w:t>Environmental architecture; digital construction; procurement &amp; law; conservation &amp; heritage; urban analytics; building energy &amp; indoor environment.</w:t>
      </w:r>
    </w:p>
    <w:p w14:paraId="01ADBD8B" w14:textId="77777777" w:rsidR="00264E61" w:rsidRPr="00C7447E" w:rsidRDefault="00264E61" w:rsidP="00264E61">
      <w:pPr>
        <w:spacing w:after="0" w:line="240" w:lineRule="auto"/>
        <w:rPr>
          <w:rFonts w:ascii="Aptos" w:eastAsia="Aptos" w:hAnsi="Aptos" w:cs="Aptos"/>
          <w:sz w:val="22"/>
          <w:szCs w:val="24"/>
        </w:rPr>
      </w:pPr>
      <w:r w:rsidRPr="00C7447E">
        <w:rPr>
          <w:rFonts w:ascii="Aptos" w:eastAsia="Aptos" w:hAnsi="Aptos" w:cs="Aptos"/>
          <w:b/>
          <w:bCs/>
          <w:sz w:val="22"/>
          <w:szCs w:val="24"/>
        </w:rPr>
        <w:t xml:space="preserve">26. Education Research, AI &amp; Digital Innovation: </w:t>
      </w:r>
      <w:r w:rsidRPr="00C7447E">
        <w:rPr>
          <w:rFonts w:ascii="Aptos" w:eastAsia="Aptos" w:hAnsi="Aptos" w:cs="Aptos"/>
          <w:sz w:val="22"/>
          <w:szCs w:val="24"/>
        </w:rPr>
        <w:t>Scholarship of Teaching and Learning (</w:t>
      </w:r>
      <w:proofErr w:type="spellStart"/>
      <w:r w:rsidRPr="00C7447E">
        <w:rPr>
          <w:rFonts w:ascii="Aptos" w:eastAsia="Aptos" w:hAnsi="Aptos" w:cs="Aptos"/>
          <w:sz w:val="22"/>
          <w:szCs w:val="24"/>
        </w:rPr>
        <w:t>SoTL</w:t>
      </w:r>
      <w:proofErr w:type="spellEnd"/>
      <w:r w:rsidRPr="00C7447E">
        <w:rPr>
          <w:rFonts w:ascii="Aptos" w:eastAsia="Aptos" w:hAnsi="Aptos" w:cs="Aptos"/>
          <w:sz w:val="22"/>
          <w:szCs w:val="24"/>
        </w:rPr>
        <w:t xml:space="preserve">) focused on </w:t>
      </w:r>
      <w:r w:rsidRPr="00C7447E">
        <w:rPr>
          <w:rFonts w:ascii="Aptos" w:eastAsia="Aptos" w:hAnsi="Aptos" w:cs="Aptos"/>
          <w:b/>
          <w:bCs/>
          <w:sz w:val="22"/>
          <w:szCs w:val="24"/>
        </w:rPr>
        <w:t>AI-enabled and digitally enhanced education</w:t>
      </w:r>
      <w:r w:rsidRPr="00C7447E">
        <w:rPr>
          <w:rFonts w:ascii="Aptos" w:eastAsia="Aptos" w:hAnsi="Aptos" w:cs="Aptos"/>
          <w:sz w:val="22"/>
          <w:szCs w:val="24"/>
        </w:rPr>
        <w:t>, including Generative AI in teaching and assessment, learning analytics, online and transnational delivery, curriculum innovation, collaborative and experiential learning, and widening access and inclusion.</w:t>
      </w:r>
    </w:p>
    <w:p w14:paraId="014D2D01" w14:textId="77777777" w:rsidR="00264E61" w:rsidRPr="00C7447E" w:rsidRDefault="00264E61" w:rsidP="00264E61">
      <w:pPr>
        <w:spacing w:after="0" w:line="240" w:lineRule="auto"/>
        <w:rPr>
          <w:rFonts w:ascii="Aptos" w:eastAsia="Aptos" w:hAnsi="Aptos" w:cs="Aptos"/>
          <w:sz w:val="22"/>
          <w:szCs w:val="24"/>
        </w:rPr>
      </w:pPr>
    </w:p>
    <w:p w14:paraId="08C438FD" w14:textId="77777777" w:rsidR="00264E61" w:rsidRPr="00C7447E" w:rsidRDefault="00264E61" w:rsidP="00264E61">
      <w:pPr>
        <w:spacing w:after="0" w:line="240" w:lineRule="auto"/>
        <w:rPr>
          <w:rFonts w:ascii="Aptos" w:eastAsia="Aptos" w:hAnsi="Aptos" w:cs="Aptos"/>
          <w:sz w:val="22"/>
          <w:szCs w:val="24"/>
        </w:rPr>
      </w:pPr>
    </w:p>
    <w:p w14:paraId="6ACB002B" w14:textId="77777777" w:rsidR="00264E61" w:rsidRPr="00136C6D" w:rsidRDefault="00264E61" w:rsidP="00136C6D">
      <w:pPr>
        <w:pStyle w:val="Heading3"/>
        <w:rPr>
          <w:lang w:eastAsia="ja-JP"/>
        </w:rPr>
      </w:pPr>
      <w:r w:rsidRPr="00136C6D">
        <w:rPr>
          <w:lang w:eastAsia="ja-JP"/>
        </w:rPr>
        <w:t>Faculty of Humanities and Social Sciences</w:t>
      </w:r>
    </w:p>
    <w:p w14:paraId="08D25C87" w14:textId="77777777" w:rsidR="00264E61" w:rsidRPr="00C7447E" w:rsidRDefault="00264E61" w:rsidP="00264E61">
      <w:pPr>
        <w:spacing w:after="0" w:line="240" w:lineRule="auto"/>
        <w:rPr>
          <w:rFonts w:ascii="Aptos" w:hAnsi="Aptos" w:cs="Calibri"/>
          <w:b/>
          <w:sz w:val="28"/>
          <w:szCs w:val="24"/>
          <w:lang w:eastAsia="ja-JP"/>
        </w:rPr>
      </w:pPr>
    </w:p>
    <w:p w14:paraId="09346A1C"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 Children, young people and families</w:t>
      </w:r>
    </w:p>
    <w:p w14:paraId="3AD75717"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2. Social justice and inequalities</w:t>
      </w:r>
    </w:p>
    <w:p w14:paraId="7234D98E"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3. Health and well-being</w:t>
      </w:r>
    </w:p>
    <w:p w14:paraId="708B125F"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4. Culture, media and journalism</w:t>
      </w:r>
    </w:p>
    <w:p w14:paraId="224CB508"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5. Gender studies, race and migration</w:t>
      </w:r>
    </w:p>
    <w:p w14:paraId="73C9CABF"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6. Education, teaching and learning</w:t>
      </w:r>
    </w:p>
    <w:p w14:paraId="1F73EF3C"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7. Public policy, elections, governments and democracies</w:t>
      </w:r>
    </w:p>
    <w:p w14:paraId="3DAD8F5D" w14:textId="77777777" w:rsidR="00264E61" w:rsidRPr="00C7447E" w:rsidRDefault="00264E61" w:rsidP="00264E61">
      <w:pPr>
        <w:spacing w:after="0" w:line="240" w:lineRule="auto"/>
        <w:rPr>
          <w:rFonts w:ascii="Aptos" w:hAnsi="Aptos" w:cs="Calibri"/>
          <w:b/>
          <w:sz w:val="28"/>
          <w:szCs w:val="24"/>
          <w:lang w:eastAsia="ja-JP"/>
        </w:rPr>
      </w:pPr>
      <w:r w:rsidRPr="00C7447E">
        <w:rPr>
          <w:rFonts w:ascii="Aptos" w:hAnsi="Aptos" w:cs="Calibri"/>
          <w:b/>
          <w:sz w:val="22"/>
          <w:szCs w:val="24"/>
          <w:lang w:eastAsia="ja-JP"/>
        </w:rPr>
        <w:t>8. Law</w:t>
      </w:r>
    </w:p>
    <w:p w14:paraId="4661AFF6" w14:textId="77777777" w:rsidR="00264E61" w:rsidRPr="00C7447E" w:rsidRDefault="00264E61" w:rsidP="00264E61">
      <w:pPr>
        <w:spacing w:after="0" w:line="240" w:lineRule="auto"/>
        <w:rPr>
          <w:rFonts w:ascii="Aptos" w:hAnsi="Aptos" w:cs="Calibri"/>
          <w:b/>
          <w:sz w:val="28"/>
          <w:szCs w:val="24"/>
          <w:lang w:eastAsia="ja-JP"/>
        </w:rPr>
      </w:pPr>
    </w:p>
    <w:p w14:paraId="2CA84DA8" w14:textId="77777777" w:rsidR="00264E61" w:rsidRPr="00C7447E" w:rsidRDefault="00264E61" w:rsidP="00264E61">
      <w:pPr>
        <w:spacing w:after="0" w:line="240" w:lineRule="auto"/>
        <w:rPr>
          <w:rFonts w:ascii="Aptos" w:hAnsi="Aptos" w:cs="Calibri"/>
          <w:b/>
          <w:sz w:val="28"/>
          <w:szCs w:val="24"/>
          <w:lang w:eastAsia="ja-JP"/>
        </w:rPr>
      </w:pPr>
    </w:p>
    <w:p w14:paraId="4FB7DEFA" w14:textId="77777777" w:rsidR="00264E61" w:rsidRPr="00C7447E" w:rsidRDefault="00264E61" w:rsidP="00264E61">
      <w:pPr>
        <w:spacing w:after="0" w:line="240" w:lineRule="auto"/>
        <w:rPr>
          <w:rFonts w:ascii="Aptos" w:hAnsi="Aptos" w:cs="Calibri"/>
          <w:b/>
          <w:sz w:val="28"/>
          <w:szCs w:val="24"/>
          <w:lang w:eastAsia="ja-JP"/>
        </w:rPr>
      </w:pPr>
    </w:p>
    <w:p w14:paraId="5BF1F875" w14:textId="77777777" w:rsidR="00264E61" w:rsidRPr="00C7447E" w:rsidRDefault="00264E61" w:rsidP="00264E61">
      <w:pPr>
        <w:spacing w:after="0" w:line="240" w:lineRule="auto"/>
        <w:rPr>
          <w:rFonts w:ascii="Aptos" w:hAnsi="Aptos" w:cs="Calibri"/>
          <w:b/>
          <w:sz w:val="28"/>
          <w:szCs w:val="24"/>
          <w:lang w:eastAsia="ja-JP"/>
        </w:rPr>
      </w:pPr>
    </w:p>
    <w:p w14:paraId="6CD57FF6" w14:textId="77777777" w:rsidR="00264E61" w:rsidRPr="00C7447E" w:rsidRDefault="00264E61" w:rsidP="00264E61">
      <w:pPr>
        <w:spacing w:after="0" w:line="240" w:lineRule="auto"/>
        <w:rPr>
          <w:rFonts w:ascii="Aptos" w:hAnsi="Aptos" w:cs="Calibri"/>
          <w:b/>
          <w:sz w:val="28"/>
          <w:szCs w:val="24"/>
          <w:lang w:eastAsia="ja-JP"/>
        </w:rPr>
      </w:pPr>
    </w:p>
    <w:p w14:paraId="559AE9F1" w14:textId="77777777" w:rsidR="00264E61" w:rsidRPr="00136C6D" w:rsidRDefault="00264E61" w:rsidP="00136C6D">
      <w:pPr>
        <w:pStyle w:val="Heading3"/>
        <w:rPr>
          <w:lang w:eastAsia="ja-JP"/>
        </w:rPr>
      </w:pPr>
      <w:r w:rsidRPr="00136C6D">
        <w:rPr>
          <w:lang w:eastAsia="ja-JP"/>
        </w:rPr>
        <w:t>Faculty of Science</w:t>
      </w:r>
    </w:p>
    <w:p w14:paraId="330D99D8" w14:textId="77777777" w:rsidR="00264E61" w:rsidRPr="00C7447E" w:rsidRDefault="00264E61" w:rsidP="00264E61">
      <w:pPr>
        <w:spacing w:after="0" w:line="240" w:lineRule="auto"/>
        <w:rPr>
          <w:rFonts w:ascii="Aptos" w:hAnsi="Aptos" w:cs="Calibri"/>
          <w:b/>
          <w:sz w:val="28"/>
          <w:szCs w:val="24"/>
          <w:lang w:eastAsia="ja-JP"/>
        </w:rPr>
      </w:pPr>
    </w:p>
    <w:p w14:paraId="2BD3BE66"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 xml:space="preserve">1. Cellular basis of disease: </w:t>
      </w:r>
      <w:r w:rsidRPr="00C7447E">
        <w:rPr>
          <w:rFonts w:ascii="Aptos" w:hAnsi="Aptos" w:cs="Calibri"/>
          <w:bCs/>
          <w:sz w:val="22"/>
          <w:szCs w:val="24"/>
          <w:lang w:eastAsia="ja-JP"/>
        </w:rPr>
        <w:t>the use of cell, tissue, and animal models to understand the molecular, cellular, and systems-level changes that drive disease</w:t>
      </w:r>
    </w:p>
    <w:p w14:paraId="753C1B1B" w14:textId="77777777" w:rsidR="00264E61" w:rsidRPr="00C7447E" w:rsidRDefault="00264E61" w:rsidP="00264E61">
      <w:pPr>
        <w:spacing w:after="0" w:line="240" w:lineRule="auto"/>
        <w:rPr>
          <w:rFonts w:ascii="Aptos" w:hAnsi="Aptos" w:cs="Calibri"/>
          <w:bCs/>
          <w:sz w:val="22"/>
          <w:szCs w:val="24"/>
          <w:lang w:eastAsia="ja-JP"/>
        </w:rPr>
      </w:pPr>
      <w:r w:rsidRPr="00C7447E">
        <w:rPr>
          <w:rFonts w:ascii="Aptos" w:hAnsi="Aptos" w:cs="Calibri"/>
          <w:b/>
          <w:sz w:val="22"/>
          <w:szCs w:val="24"/>
          <w:lang w:eastAsia="ja-JP"/>
        </w:rPr>
        <w:t>2. Pharmaceutical sciences:</w:t>
      </w:r>
      <w:r w:rsidRPr="00C7447E">
        <w:rPr>
          <w:rFonts w:ascii="Aptos" w:hAnsi="Aptos" w:cs="Calibri"/>
          <w:bCs/>
          <w:sz w:val="22"/>
          <w:szCs w:val="24"/>
          <w:lang w:eastAsia="ja-JP"/>
        </w:rPr>
        <w:t xml:space="preserve"> the development, manufacture, and testing of the next generation of medicines</w:t>
      </w:r>
    </w:p>
    <w:p w14:paraId="1DE8C2A9" w14:textId="77777777" w:rsidR="00264E61" w:rsidRPr="00C7447E" w:rsidRDefault="00264E61" w:rsidP="00264E61">
      <w:pPr>
        <w:spacing w:after="0" w:line="240" w:lineRule="auto"/>
        <w:rPr>
          <w:rFonts w:ascii="Aptos" w:hAnsi="Aptos" w:cs="Calibri"/>
          <w:bCs/>
          <w:sz w:val="22"/>
          <w:szCs w:val="24"/>
          <w:lang w:eastAsia="ja-JP"/>
        </w:rPr>
      </w:pPr>
      <w:r w:rsidRPr="00C7447E">
        <w:rPr>
          <w:rFonts w:ascii="Aptos" w:hAnsi="Aptos" w:cs="Calibri"/>
          <w:b/>
          <w:sz w:val="22"/>
          <w:szCs w:val="24"/>
          <w:lang w:eastAsia="ja-JP"/>
        </w:rPr>
        <w:t xml:space="preserve">3. Pharmacoepidemiology and Health Service Research: </w:t>
      </w:r>
      <w:r w:rsidRPr="00C7447E">
        <w:rPr>
          <w:rFonts w:ascii="Aptos" w:hAnsi="Aptos" w:cs="Calibri"/>
          <w:bCs/>
          <w:sz w:val="22"/>
          <w:szCs w:val="24"/>
          <w:lang w:eastAsia="ja-JP"/>
        </w:rPr>
        <w:t>the effective use of medicines and public health improvement</w:t>
      </w:r>
    </w:p>
    <w:p w14:paraId="05809DF2"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 xml:space="preserve">4. </w:t>
      </w:r>
      <w:proofErr w:type="spellStart"/>
      <w:r w:rsidRPr="00C7447E">
        <w:rPr>
          <w:rFonts w:ascii="Aptos" w:hAnsi="Aptos" w:cs="Calibri"/>
          <w:b/>
          <w:sz w:val="22"/>
          <w:szCs w:val="24"/>
          <w:lang w:eastAsia="ja-JP"/>
        </w:rPr>
        <w:t>Bionanotechnology</w:t>
      </w:r>
      <w:proofErr w:type="spellEnd"/>
      <w:r w:rsidRPr="00C7447E">
        <w:rPr>
          <w:rFonts w:ascii="Aptos" w:hAnsi="Aptos" w:cs="Calibri"/>
          <w:b/>
          <w:sz w:val="22"/>
          <w:szCs w:val="24"/>
          <w:lang w:eastAsia="ja-JP"/>
        </w:rPr>
        <w:t xml:space="preserve"> and Analytical Chemistry</w:t>
      </w:r>
    </w:p>
    <w:p w14:paraId="32380A82"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5. Synthetic Chemistry and Chemical Biology</w:t>
      </w:r>
    </w:p>
    <w:p w14:paraId="2AF7DC8B"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6. Materials and Computational Chemistry</w:t>
      </w:r>
    </w:p>
    <w:p w14:paraId="01D486A2"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lastRenderedPageBreak/>
        <w:t>7. Quantum technologies for information processing, computing, or sensing</w:t>
      </w:r>
    </w:p>
    <w:p w14:paraId="513DA8ED"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8. Photonic devices and systems from fundamental science to applications-driven research</w:t>
      </w:r>
    </w:p>
    <w:p w14:paraId="45866F28"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 xml:space="preserve">9. Plasma physics, laser-plasma interactions, and </w:t>
      </w:r>
      <w:proofErr w:type="gramStart"/>
      <w:r w:rsidRPr="00C7447E">
        <w:rPr>
          <w:rFonts w:ascii="Aptos" w:hAnsi="Aptos" w:cs="Calibri"/>
          <w:b/>
          <w:sz w:val="22"/>
          <w:szCs w:val="24"/>
          <w:lang w:eastAsia="ja-JP"/>
        </w:rPr>
        <w:t>high power</w:t>
      </w:r>
      <w:proofErr w:type="gramEnd"/>
      <w:r w:rsidRPr="00C7447E">
        <w:rPr>
          <w:rFonts w:ascii="Aptos" w:hAnsi="Aptos" w:cs="Calibri"/>
          <w:b/>
          <w:sz w:val="22"/>
          <w:szCs w:val="24"/>
          <w:lang w:eastAsia="ja-JP"/>
        </w:rPr>
        <w:t xml:space="preserve"> sources</w:t>
      </w:r>
    </w:p>
    <w:p w14:paraId="516320F4"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10. Digital Cultural Heritage</w:t>
      </w:r>
    </w:p>
    <w:p w14:paraId="62F41F28"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11. Generative AI applied to Information Retrieval</w:t>
      </w:r>
    </w:p>
    <w:p w14:paraId="4A5C3EA9"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12. Program verification and correctness: the development of the mathematical foundations of programming languages and logic</w:t>
      </w:r>
    </w:p>
    <w:p w14:paraId="4FDCC045"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13. Mathematical models in epidemiology</w:t>
      </w:r>
    </w:p>
    <w:p w14:paraId="62C8FFF7"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14. Marine science modelling</w:t>
      </w:r>
    </w:p>
    <w:p w14:paraId="54108BF5"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15. Modelling for sustainable agriculture and forestry</w:t>
      </w:r>
    </w:p>
    <w:p w14:paraId="19D61F0E"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 xml:space="preserve">16. Mathematical properties of algorithms for predictive modelling and classification in </w:t>
      </w:r>
      <w:proofErr w:type="gramStart"/>
      <w:r w:rsidRPr="00C7447E">
        <w:rPr>
          <w:rFonts w:ascii="Aptos" w:hAnsi="Aptos" w:cs="Calibri"/>
          <w:b/>
          <w:sz w:val="22"/>
          <w:szCs w:val="24"/>
          <w:lang w:eastAsia="ja-JP"/>
        </w:rPr>
        <w:t>large linked</w:t>
      </w:r>
      <w:proofErr w:type="gramEnd"/>
      <w:r w:rsidRPr="00C7447E">
        <w:rPr>
          <w:rFonts w:ascii="Aptos" w:hAnsi="Aptos" w:cs="Calibri"/>
          <w:b/>
          <w:sz w:val="22"/>
          <w:szCs w:val="24"/>
          <w:lang w:eastAsia="ja-JP"/>
        </w:rPr>
        <w:t xml:space="preserve"> health data sets</w:t>
      </w:r>
    </w:p>
    <w:p w14:paraId="467228E3"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17. Causal inference methods in observational health data</w:t>
      </w:r>
    </w:p>
    <w:p w14:paraId="24976D46"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 xml:space="preserve">18. Reliable </w:t>
      </w:r>
      <w:proofErr w:type="spellStart"/>
      <w:r w:rsidRPr="00C7447E">
        <w:rPr>
          <w:rFonts w:ascii="Aptos" w:hAnsi="Aptos" w:cs="Calibri"/>
          <w:b/>
          <w:sz w:val="22"/>
          <w:szCs w:val="24"/>
          <w:lang w:eastAsia="ja-JP"/>
        </w:rPr>
        <w:t>Numerics</w:t>
      </w:r>
      <w:proofErr w:type="spellEnd"/>
      <w:r w:rsidRPr="00C7447E">
        <w:rPr>
          <w:rFonts w:ascii="Aptos" w:hAnsi="Aptos" w:cs="Calibri"/>
          <w:b/>
          <w:sz w:val="22"/>
          <w:szCs w:val="24"/>
          <w:lang w:eastAsia="ja-JP"/>
        </w:rPr>
        <w:t xml:space="preserve"> for Scientific Machine Learning</w:t>
      </w:r>
    </w:p>
    <w:p w14:paraId="6047E3FB"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 xml:space="preserve">19. </w:t>
      </w:r>
      <w:proofErr w:type="gramStart"/>
      <w:r w:rsidRPr="00C7447E">
        <w:rPr>
          <w:rFonts w:ascii="Aptos" w:hAnsi="Aptos" w:cs="Calibri"/>
          <w:b/>
          <w:sz w:val="22"/>
          <w:szCs w:val="24"/>
          <w:lang w:eastAsia="ja-JP"/>
        </w:rPr>
        <w:t>Biologically-Inspired</w:t>
      </w:r>
      <w:proofErr w:type="gramEnd"/>
      <w:r w:rsidRPr="00C7447E">
        <w:rPr>
          <w:rFonts w:ascii="Aptos" w:hAnsi="Aptos" w:cs="Calibri"/>
          <w:b/>
          <w:sz w:val="22"/>
          <w:szCs w:val="24"/>
          <w:lang w:eastAsia="ja-JP"/>
        </w:rPr>
        <w:t xml:space="preserve"> Active Matter</w:t>
      </w:r>
    </w:p>
    <w:p w14:paraId="4101EDF3" w14:textId="77777777" w:rsidR="00264E61" w:rsidRPr="00C7447E" w:rsidRDefault="00264E61" w:rsidP="00264E61">
      <w:pPr>
        <w:spacing w:after="0" w:line="240" w:lineRule="auto"/>
        <w:rPr>
          <w:rFonts w:ascii="Aptos" w:hAnsi="Aptos" w:cs="Calibri"/>
          <w:b/>
          <w:sz w:val="28"/>
          <w:szCs w:val="24"/>
          <w:lang w:eastAsia="ja-JP"/>
        </w:rPr>
      </w:pPr>
    </w:p>
    <w:p w14:paraId="02124DFC" w14:textId="77777777" w:rsidR="00264E61" w:rsidRPr="00C7447E" w:rsidRDefault="00264E61" w:rsidP="00264E61">
      <w:pPr>
        <w:spacing w:after="0" w:line="240" w:lineRule="auto"/>
        <w:rPr>
          <w:rFonts w:ascii="Aptos" w:hAnsi="Aptos" w:cs="Calibri"/>
          <w:b/>
          <w:sz w:val="28"/>
          <w:szCs w:val="24"/>
          <w:lang w:eastAsia="ja-JP"/>
        </w:rPr>
      </w:pPr>
    </w:p>
    <w:p w14:paraId="134673B2" w14:textId="77777777" w:rsidR="00264E61" w:rsidRPr="00136C6D" w:rsidRDefault="00264E61" w:rsidP="00136C6D">
      <w:pPr>
        <w:pStyle w:val="Heading3"/>
        <w:rPr>
          <w:lang w:eastAsia="ja-JP"/>
        </w:rPr>
      </w:pPr>
      <w:r w:rsidRPr="00136C6D">
        <w:rPr>
          <w:lang w:eastAsia="ja-JP"/>
        </w:rPr>
        <w:t>Strathclyde Business School</w:t>
      </w:r>
    </w:p>
    <w:p w14:paraId="10D14185" w14:textId="77777777" w:rsidR="00264E61" w:rsidRPr="00C7447E" w:rsidRDefault="00264E61" w:rsidP="00264E61">
      <w:pPr>
        <w:spacing w:after="0" w:line="240" w:lineRule="auto"/>
        <w:rPr>
          <w:rFonts w:ascii="Aptos" w:hAnsi="Aptos" w:cs="Calibri"/>
          <w:b/>
          <w:sz w:val="28"/>
          <w:szCs w:val="24"/>
          <w:lang w:eastAsia="ja-JP"/>
        </w:rPr>
      </w:pPr>
    </w:p>
    <w:p w14:paraId="46CB4B3B"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 Measuring the modern economy</w:t>
      </w:r>
    </w:p>
    <w:p w14:paraId="0011EDF4"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2. Applied microeconomics of health, labour, education</w:t>
      </w:r>
    </w:p>
    <w:p w14:paraId="4AE2631C"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3. Economics of energy and the environment</w:t>
      </w:r>
    </w:p>
    <w:p w14:paraId="6A010F39"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4. Systems &amp; risk modelling</w:t>
      </w:r>
    </w:p>
    <w:p w14:paraId="45B1F452"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5. Optimisation</w:t>
      </w:r>
    </w:p>
    <w:p w14:paraId="56F6B5DE"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6. AI and strategy</w:t>
      </w:r>
    </w:p>
    <w:p w14:paraId="51ABFBCF"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7. Entrepreneurial ecosystem</w:t>
      </w:r>
    </w:p>
    <w:p w14:paraId="4DE81F32"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8. Inclusive entrepreneurship (gender, race, developing economies etc.)</w:t>
      </w:r>
    </w:p>
    <w:p w14:paraId="5D01A9B0"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9. Entrepreneurship and enterprise policy</w:t>
      </w:r>
    </w:p>
    <w:p w14:paraId="23D7ADB0"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10. Innovation</w:t>
      </w:r>
    </w:p>
    <w:p w14:paraId="242F103B" w14:textId="77777777" w:rsidR="00264E61" w:rsidRPr="00C7447E" w:rsidRDefault="00264E61" w:rsidP="00264E61">
      <w:pPr>
        <w:spacing w:after="0" w:line="240" w:lineRule="auto"/>
        <w:rPr>
          <w:rFonts w:ascii="Aptos" w:hAnsi="Aptos" w:cs="Calibri"/>
          <w:b/>
          <w:sz w:val="22"/>
          <w:szCs w:val="24"/>
          <w:lang w:eastAsia="ja-JP"/>
        </w:rPr>
      </w:pPr>
      <w:r w:rsidRPr="00C7447E">
        <w:rPr>
          <w:rFonts w:ascii="Aptos" w:hAnsi="Aptos" w:cs="Calibri"/>
          <w:b/>
          <w:sz w:val="22"/>
          <w:szCs w:val="24"/>
          <w:lang w:eastAsia="ja-JP"/>
        </w:rPr>
        <w:t>11. Organisational performance and behaviour</w:t>
      </w:r>
    </w:p>
    <w:p w14:paraId="3C8E725D" w14:textId="77777777" w:rsidR="00264E61" w:rsidRPr="00C7447E" w:rsidRDefault="00264E61" w:rsidP="00264E61">
      <w:pPr>
        <w:rPr>
          <w:rFonts w:ascii="Aptos" w:hAnsi="Aptos" w:cs="Times New Roman"/>
          <w:sz w:val="28"/>
          <w:szCs w:val="28"/>
        </w:rPr>
      </w:pPr>
    </w:p>
    <w:p w14:paraId="43EC64DC" w14:textId="77777777" w:rsidR="00F62852" w:rsidRPr="00C7447E" w:rsidRDefault="00F62852" w:rsidP="00264E61">
      <w:pPr>
        <w:rPr>
          <w:rFonts w:ascii="Aptos" w:hAnsi="Aptos"/>
          <w:sz w:val="22"/>
          <w:szCs w:val="24"/>
        </w:rPr>
      </w:pPr>
    </w:p>
    <w:sectPr w:rsidR="00F62852" w:rsidRPr="00C7447E" w:rsidSect="00710D43">
      <w:headerReference w:type="even" r:id="rId14"/>
      <w:footerReference w:type="default" r:id="rId15"/>
      <w:headerReference w:type="first" r:id="rId16"/>
      <w:footerReference w:type="first" r:id="rId17"/>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E159" w14:textId="77777777" w:rsidR="00B51EB5" w:rsidRDefault="00B51EB5" w:rsidP="00F5220C">
      <w:pPr>
        <w:spacing w:after="0" w:line="240" w:lineRule="auto"/>
      </w:pPr>
      <w:r>
        <w:separator/>
      </w:r>
    </w:p>
  </w:endnote>
  <w:endnote w:type="continuationSeparator" w:id="0">
    <w:p w14:paraId="658E7A35" w14:textId="77777777" w:rsidR="00B51EB5" w:rsidRDefault="00B51EB5"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A27" w14:textId="77777777" w:rsidR="006E0B69" w:rsidRDefault="006E0B69"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5CC" w14:textId="0EB806ED" w:rsidR="005D67F8" w:rsidRPr="00720C99" w:rsidRDefault="009450FD" w:rsidP="00720C99">
    <w:pPr>
      <w:pStyle w:val="Footer"/>
      <w:spacing w:line="360" w:lineRule="auto"/>
      <w:rPr>
        <w:sz w:val="14"/>
        <w:szCs w:val="14"/>
      </w:rPr>
    </w:pPr>
    <w:r>
      <w:rPr>
        <w:noProof/>
        <w:sz w:val="14"/>
        <w:szCs w:val="14"/>
      </w:rPr>
      <w:drawing>
        <wp:anchor distT="0" distB="0" distL="114300" distR="114300" simplePos="0" relativeHeight="251658240" behindDoc="0" locked="0" layoutInCell="1" allowOverlap="1" wp14:anchorId="44EE77B5" wp14:editId="55D4F64A">
          <wp:simplePos x="0" y="0"/>
          <wp:positionH relativeFrom="column">
            <wp:posOffset>-482600</wp:posOffset>
          </wp:positionH>
          <wp:positionV relativeFrom="paragraph">
            <wp:posOffset>-146482</wp:posOffset>
          </wp:positionV>
          <wp:extent cx="7619552" cy="768485"/>
          <wp:effectExtent l="0" t="0" r="635" b="6350"/>
          <wp:wrapNone/>
          <wp:docPr id="1323394212" name="Picture 2" descr="Strathclyde footer -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4212" name="Picture 2" descr="Strathclyde footer - awards"/>
                  <pic:cNvPicPr/>
                </pic:nvPicPr>
                <pic:blipFill>
                  <a:blip r:embed="rId1"/>
                  <a:stretch>
                    <a:fillRect/>
                  </a:stretch>
                </pic:blipFill>
                <pic:spPr>
                  <a:xfrm>
                    <a:off x="0" y="0"/>
                    <a:ext cx="7619552" cy="7684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42B0" w14:textId="77777777" w:rsidR="00B51EB5" w:rsidRDefault="00B51EB5" w:rsidP="00F5220C">
      <w:pPr>
        <w:spacing w:after="0" w:line="240" w:lineRule="auto"/>
      </w:pPr>
      <w:r>
        <w:separator/>
      </w:r>
    </w:p>
  </w:footnote>
  <w:footnote w:type="continuationSeparator" w:id="0">
    <w:p w14:paraId="48830619" w14:textId="77777777" w:rsidR="00B51EB5" w:rsidRDefault="00B51EB5"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AD1994">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2CF50593" w:rsidR="006E0B69" w:rsidRDefault="00153A38">
    <w:pPr>
      <w:pStyle w:val="Header"/>
    </w:pPr>
    <w:r>
      <w:rPr>
        <w:noProof/>
      </w:rPr>
      <w:drawing>
        <wp:anchor distT="0" distB="0" distL="114300" distR="114300" simplePos="0" relativeHeight="251657216" behindDoc="1" locked="0" layoutInCell="1" allowOverlap="1" wp14:anchorId="3B8F8283" wp14:editId="2898B792">
          <wp:simplePos x="0" y="0"/>
          <wp:positionH relativeFrom="column">
            <wp:posOffset>3030501</wp:posOffset>
          </wp:positionH>
          <wp:positionV relativeFrom="paragraph">
            <wp:posOffset>-1183640</wp:posOffset>
          </wp:positionV>
          <wp:extent cx="798131" cy="798131"/>
          <wp:effectExtent l="0" t="0" r="2540" b="2540"/>
          <wp:wrapNone/>
          <wp:docPr id="1658814270" name="Picture 1658814270" descr="Strathclyde 36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14270" name="Picture 1658814270" descr="Strathclyde 360 logo"/>
                  <pic:cNvPicPr/>
                </pic:nvPicPr>
                <pic:blipFill>
                  <a:blip r:embed="rId1"/>
                  <a:stretch>
                    <a:fillRect/>
                  </a:stretch>
                </pic:blipFill>
                <pic:spPr>
                  <a:xfrm>
                    <a:off x="0" y="0"/>
                    <a:ext cx="798131" cy="79813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A1B5D88" wp14:editId="7D6CFD4D">
          <wp:simplePos x="0" y="0"/>
          <wp:positionH relativeFrom="column">
            <wp:posOffset>-3810</wp:posOffset>
          </wp:positionH>
          <wp:positionV relativeFrom="paragraph">
            <wp:posOffset>-1130756</wp:posOffset>
          </wp:positionV>
          <wp:extent cx="2524259" cy="747294"/>
          <wp:effectExtent l="0" t="0" r="3175" b="2540"/>
          <wp:wrapNone/>
          <wp:docPr id="4" name="Picture 4"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2"/>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321AE"/>
    <w:multiLevelType w:val="hybridMultilevel"/>
    <w:tmpl w:val="6B806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E3560"/>
    <w:multiLevelType w:val="hybridMultilevel"/>
    <w:tmpl w:val="9E1E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168121">
    <w:abstractNumId w:val="6"/>
  </w:num>
  <w:num w:numId="2" w16cid:durableId="1212813336">
    <w:abstractNumId w:val="3"/>
  </w:num>
  <w:num w:numId="3" w16cid:durableId="628245863">
    <w:abstractNumId w:val="3"/>
  </w:num>
  <w:num w:numId="4" w16cid:durableId="968244790">
    <w:abstractNumId w:val="0"/>
  </w:num>
  <w:num w:numId="5" w16cid:durableId="2052266663">
    <w:abstractNumId w:val="5"/>
  </w:num>
  <w:num w:numId="6" w16cid:durableId="398477409">
    <w:abstractNumId w:val="7"/>
  </w:num>
  <w:num w:numId="7" w16cid:durableId="97792887">
    <w:abstractNumId w:val="4"/>
  </w:num>
  <w:num w:numId="8" w16cid:durableId="301619529">
    <w:abstractNumId w:val="8"/>
  </w:num>
  <w:num w:numId="9" w16cid:durableId="1879858176">
    <w:abstractNumId w:val="1"/>
  </w:num>
  <w:num w:numId="10" w16cid:durableId="1125778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27E6A"/>
    <w:rsid w:val="0003248B"/>
    <w:rsid w:val="000416A2"/>
    <w:rsid w:val="00063A92"/>
    <w:rsid w:val="00082B53"/>
    <w:rsid w:val="00092F6C"/>
    <w:rsid w:val="00094349"/>
    <w:rsid w:val="000B0277"/>
    <w:rsid w:val="000C1276"/>
    <w:rsid w:val="000C187F"/>
    <w:rsid w:val="000D10B4"/>
    <w:rsid w:val="000D398C"/>
    <w:rsid w:val="000E3206"/>
    <w:rsid w:val="000E7787"/>
    <w:rsid w:val="0013272F"/>
    <w:rsid w:val="00136C6D"/>
    <w:rsid w:val="0014194C"/>
    <w:rsid w:val="00153A38"/>
    <w:rsid w:val="00180B0C"/>
    <w:rsid w:val="0018483E"/>
    <w:rsid w:val="001C47FD"/>
    <w:rsid w:val="001D33D7"/>
    <w:rsid w:val="001D7785"/>
    <w:rsid w:val="001F407F"/>
    <w:rsid w:val="001F4F47"/>
    <w:rsid w:val="00207AB6"/>
    <w:rsid w:val="002537D2"/>
    <w:rsid w:val="00263C8C"/>
    <w:rsid w:val="00264E61"/>
    <w:rsid w:val="0026633A"/>
    <w:rsid w:val="00287B03"/>
    <w:rsid w:val="002B7C1D"/>
    <w:rsid w:val="002C283E"/>
    <w:rsid w:val="002C7183"/>
    <w:rsid w:val="002F631A"/>
    <w:rsid w:val="0033754D"/>
    <w:rsid w:val="00342380"/>
    <w:rsid w:val="003424D2"/>
    <w:rsid w:val="003606BE"/>
    <w:rsid w:val="003A75EE"/>
    <w:rsid w:val="003B3829"/>
    <w:rsid w:val="003C3AA3"/>
    <w:rsid w:val="003C6D4D"/>
    <w:rsid w:val="003C749B"/>
    <w:rsid w:val="003E3B20"/>
    <w:rsid w:val="00433EAD"/>
    <w:rsid w:val="004956A4"/>
    <w:rsid w:val="00497008"/>
    <w:rsid w:val="004B5AC7"/>
    <w:rsid w:val="004C0E77"/>
    <w:rsid w:val="004D1F13"/>
    <w:rsid w:val="00537846"/>
    <w:rsid w:val="00560D26"/>
    <w:rsid w:val="00580575"/>
    <w:rsid w:val="005A34BF"/>
    <w:rsid w:val="005B61AB"/>
    <w:rsid w:val="005C6B21"/>
    <w:rsid w:val="005C76EC"/>
    <w:rsid w:val="005D0A96"/>
    <w:rsid w:val="005D67F8"/>
    <w:rsid w:val="005E0694"/>
    <w:rsid w:val="005E771C"/>
    <w:rsid w:val="00625129"/>
    <w:rsid w:val="0063019D"/>
    <w:rsid w:val="00644B56"/>
    <w:rsid w:val="00647B1F"/>
    <w:rsid w:val="00686060"/>
    <w:rsid w:val="006C0122"/>
    <w:rsid w:val="006E0B69"/>
    <w:rsid w:val="0070372B"/>
    <w:rsid w:val="00710D43"/>
    <w:rsid w:val="00720C99"/>
    <w:rsid w:val="00722560"/>
    <w:rsid w:val="00767858"/>
    <w:rsid w:val="00771E61"/>
    <w:rsid w:val="00782790"/>
    <w:rsid w:val="007A623C"/>
    <w:rsid w:val="007B2671"/>
    <w:rsid w:val="007C4588"/>
    <w:rsid w:val="00861E4E"/>
    <w:rsid w:val="00862910"/>
    <w:rsid w:val="00883591"/>
    <w:rsid w:val="008A11E3"/>
    <w:rsid w:val="00925B14"/>
    <w:rsid w:val="00933F5A"/>
    <w:rsid w:val="009450FD"/>
    <w:rsid w:val="009537E1"/>
    <w:rsid w:val="0097593B"/>
    <w:rsid w:val="00997337"/>
    <w:rsid w:val="009B0CEC"/>
    <w:rsid w:val="00A01023"/>
    <w:rsid w:val="00A012D2"/>
    <w:rsid w:val="00A2022C"/>
    <w:rsid w:val="00A318A6"/>
    <w:rsid w:val="00A33403"/>
    <w:rsid w:val="00A54BDD"/>
    <w:rsid w:val="00A66A1F"/>
    <w:rsid w:val="00A81B05"/>
    <w:rsid w:val="00AA26F4"/>
    <w:rsid w:val="00AB725B"/>
    <w:rsid w:val="00AD1994"/>
    <w:rsid w:val="00AD68EF"/>
    <w:rsid w:val="00AE6929"/>
    <w:rsid w:val="00B014DE"/>
    <w:rsid w:val="00B056FD"/>
    <w:rsid w:val="00B17201"/>
    <w:rsid w:val="00B45FF7"/>
    <w:rsid w:val="00B51EB5"/>
    <w:rsid w:val="00B56521"/>
    <w:rsid w:val="00B80851"/>
    <w:rsid w:val="00B928E7"/>
    <w:rsid w:val="00BA0F82"/>
    <w:rsid w:val="00BB2FA2"/>
    <w:rsid w:val="00C10392"/>
    <w:rsid w:val="00C22ACF"/>
    <w:rsid w:val="00C5144E"/>
    <w:rsid w:val="00C67110"/>
    <w:rsid w:val="00C7447E"/>
    <w:rsid w:val="00C7501F"/>
    <w:rsid w:val="00C867B8"/>
    <w:rsid w:val="00C90656"/>
    <w:rsid w:val="00CA74E5"/>
    <w:rsid w:val="00CC4C5D"/>
    <w:rsid w:val="00CE0E80"/>
    <w:rsid w:val="00CF1449"/>
    <w:rsid w:val="00D01982"/>
    <w:rsid w:val="00E0182E"/>
    <w:rsid w:val="00E368DF"/>
    <w:rsid w:val="00E41662"/>
    <w:rsid w:val="00E83C8D"/>
    <w:rsid w:val="00E974A8"/>
    <w:rsid w:val="00EA5C38"/>
    <w:rsid w:val="00EB2C86"/>
    <w:rsid w:val="00EF35FA"/>
    <w:rsid w:val="00F008D9"/>
    <w:rsid w:val="00F04A6F"/>
    <w:rsid w:val="00F149C4"/>
    <w:rsid w:val="00F22CF5"/>
    <w:rsid w:val="00F30A03"/>
    <w:rsid w:val="00F36FD3"/>
    <w:rsid w:val="00F5220C"/>
    <w:rsid w:val="00F62852"/>
    <w:rsid w:val="00F66E92"/>
    <w:rsid w:val="00F7764C"/>
    <w:rsid w:val="00FA1A45"/>
    <w:rsid w:val="00FA6A75"/>
    <w:rsid w:val="00FD15F5"/>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F149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149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6C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 w:type="paragraph" w:styleId="NoSpacing">
    <w:name w:val="No Spacing"/>
    <w:uiPriority w:val="1"/>
    <w:qFormat/>
    <w:rsid w:val="00264E61"/>
    <w:rPr>
      <w:rFonts w:asciiTheme="minorHAnsi" w:eastAsiaTheme="minorEastAsia" w:hAnsiTheme="minorHAnsi" w:cstheme="minorBidi"/>
      <w:color w:val="auto"/>
      <w:sz w:val="22"/>
      <w:lang w:val="en-US" w:eastAsia="en-US"/>
    </w:rPr>
  </w:style>
  <w:style w:type="paragraph" w:customStyle="1" w:styleId="paragraph">
    <w:name w:val="paragraph"/>
    <w:basedOn w:val="Normal"/>
    <w:rsid w:val="00264E6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F149C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149C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36C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ath.ac.uk/research/technologyandinnovationcentre/ourresearchsecto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rcabc.europa.eu/ui/group/9a4230a6-2769-4067-b136-3e238ae65fa6/library/8f290dc1-3491-4417-9e67-126c8ea42e55/detai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rcabc.europa.eu/ui/group/9a4230a6-2769-4067-b136-3e238ae65fa6/library/d8309e0f-185d-4dca-a3f4-7a2ab69874af/detai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7c5956-0edf-4444-bd4f-48b1c7f54703">
      <Terms xmlns="http://schemas.microsoft.com/office/infopath/2007/PartnerControls"/>
    </lcf76f155ced4ddcb4097134ff3c332f>
    <TaxCatchAll xmlns="faf8587f-6d9b-490e-9c1a-b484aa3966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0DA53543E79B488DD80159CDD32699" ma:contentTypeVersion="15" ma:contentTypeDescription="Create a new document." ma:contentTypeScope="" ma:versionID="24b4b34f1fc697693224ba1e841d7a1b">
  <xsd:schema xmlns:xsd="http://www.w3.org/2001/XMLSchema" xmlns:xs="http://www.w3.org/2001/XMLSchema" xmlns:p="http://schemas.microsoft.com/office/2006/metadata/properties" xmlns:ns2="b47c5956-0edf-4444-bd4f-48b1c7f54703" xmlns:ns3="faf8587f-6d9b-490e-9c1a-b484aa3966e7" targetNamespace="http://schemas.microsoft.com/office/2006/metadata/properties" ma:root="true" ma:fieldsID="d06dd8f6e476af1be7bebd205c1dea32" ns2:_="" ns3:_="">
    <xsd:import namespace="b47c5956-0edf-4444-bd4f-48b1c7f54703"/>
    <xsd:import namespace="faf8587f-6d9b-490e-9c1a-b484aa3966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5956-0edf-4444-bd4f-48b1c7f54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8587f-6d9b-490e-9c1a-b484aa3966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68f2fb-18e4-4f81-92d3-1453c2a922a7}" ma:internalName="TaxCatchAll" ma:showField="CatchAllData" ma:web="faf8587f-6d9b-490e-9c1a-b484aa3966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C6CF5-C7B5-476D-BC5D-477FD71C4FE3}">
  <ds:schemaRefs>
    <ds:schemaRef ds:uri="http://schemas.microsoft.com/office/2006/metadata/properties"/>
    <ds:schemaRef ds:uri="http://schemas.microsoft.com/office/infopath/2007/PartnerControls"/>
    <ds:schemaRef ds:uri="b47c5956-0edf-4444-bd4f-48b1c7f54703"/>
    <ds:schemaRef ds:uri="faf8587f-6d9b-490e-9c1a-b484aa3966e7"/>
  </ds:schemaRefs>
</ds:datastoreItem>
</file>

<file path=customXml/itemProps2.xml><?xml version="1.0" encoding="utf-8"?>
<ds:datastoreItem xmlns:ds="http://schemas.openxmlformats.org/officeDocument/2006/customXml" ds:itemID="{007E73AF-2619-4C8F-9D45-950859DB9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5956-0edf-4444-bd4f-48b1c7f54703"/>
    <ds:schemaRef ds:uri="faf8587f-6d9b-490e-9c1a-b484aa396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D12CA-26BD-4638-ACD0-29E0FADB3362}">
  <ds:schemaRefs>
    <ds:schemaRef ds:uri="http://schemas.microsoft.com/sharepoint/v3/contenttype/forms"/>
  </ds:schemaRefs>
</ds:datastoreItem>
</file>

<file path=customXml/itemProps4.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1927</Words>
  <Characters>12843</Characters>
  <Application>Microsoft Office Word</Application>
  <DocSecurity>0</DocSecurity>
  <Lines>346</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Martin Dunlop</cp:lastModifiedBy>
  <cp:revision>8</cp:revision>
  <cp:lastPrinted>2018-04-23T15:43:00Z</cp:lastPrinted>
  <dcterms:created xsi:type="dcterms:W3CDTF">2026-03-19T12:58:00Z</dcterms:created>
  <dcterms:modified xsi:type="dcterms:W3CDTF">2026-03-19T14:52:00Z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0x010100BD0DA53543E79B488DD80159CDD32699</vt:lpwstr>
  </property>
</Properties>
</file>