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94B3" w14:textId="6B3A7396" w:rsidR="00546BB0" w:rsidRDefault="00A45C08" w:rsidP="00A45C08">
      <w:pPr>
        <w:rPr>
          <w:b/>
          <w:bCs/>
          <w:sz w:val="32"/>
          <w:szCs w:val="32"/>
        </w:rPr>
      </w:pPr>
      <w:r w:rsidRPr="00A45C08">
        <w:rPr>
          <w:b/>
          <w:bCs/>
          <w:sz w:val="32"/>
          <w:szCs w:val="32"/>
        </w:rPr>
        <w:t xml:space="preserve">Recognition of Prior Learning (RPL) </w:t>
      </w:r>
      <w:r w:rsidR="0022774B">
        <w:rPr>
          <w:b/>
          <w:bCs/>
          <w:sz w:val="32"/>
          <w:szCs w:val="32"/>
        </w:rPr>
        <w:t>: Advice</w:t>
      </w:r>
    </w:p>
    <w:p w14:paraId="7BF88627" w14:textId="44642851" w:rsidR="00A45C08" w:rsidRPr="00A45C08" w:rsidRDefault="00A45C08" w:rsidP="00A45C08">
      <w:pPr>
        <w:rPr>
          <w:b/>
          <w:bCs/>
          <w:sz w:val="32"/>
          <w:szCs w:val="32"/>
        </w:rPr>
      </w:pPr>
      <w:r w:rsidRPr="00A45C08">
        <w:rPr>
          <w:b/>
          <w:bCs/>
          <w:sz w:val="32"/>
          <w:szCs w:val="32"/>
        </w:rPr>
        <w:t>Entry to T</w:t>
      </w:r>
      <w:r w:rsidR="00D804B2">
        <w:rPr>
          <w:b/>
          <w:bCs/>
          <w:sz w:val="32"/>
          <w:szCs w:val="32"/>
        </w:rPr>
        <w:t>eaching Qualification for Further Education: Level 9</w:t>
      </w:r>
    </w:p>
    <w:p w14:paraId="083F71EB" w14:textId="77777777" w:rsidR="00A45C08" w:rsidRPr="00A45C08" w:rsidRDefault="00A45C08" w:rsidP="00A45C08">
      <w:pPr>
        <w:rPr>
          <w:sz w:val="32"/>
          <w:szCs w:val="32"/>
        </w:rPr>
      </w:pPr>
      <w:r w:rsidRPr="00A45C08">
        <w:rPr>
          <w:b/>
          <w:bCs/>
          <w:sz w:val="32"/>
          <w:szCs w:val="32"/>
        </w:rPr>
        <w:t>University of Strathclyde</w:t>
      </w:r>
    </w:p>
    <w:p w14:paraId="067FDEB2" w14:textId="048B60DD" w:rsidR="00546BB0" w:rsidRPr="00A45C08" w:rsidRDefault="00BF47C2" w:rsidP="00A45C08">
      <w:pPr>
        <w:rPr>
          <w:sz w:val="24"/>
          <w:szCs w:val="24"/>
        </w:rPr>
      </w:pPr>
      <w:r>
        <w:rPr>
          <w:sz w:val="24"/>
          <w:szCs w:val="24"/>
        </w:rPr>
        <w:pict w14:anchorId="595E1A0B">
          <v:rect id="_x0000_i1026" style="width:0;height:1.5pt" o:hralign="center" o:hrstd="t" o:hr="t" fillcolor="#a0a0a0" stroked="f"/>
        </w:pict>
      </w:r>
    </w:p>
    <w:p w14:paraId="43B42FED" w14:textId="47896574" w:rsidR="00A45C08" w:rsidRPr="00A45C08" w:rsidRDefault="00A45C08" w:rsidP="00A45C08">
      <w:pPr>
        <w:rPr>
          <w:b/>
          <w:bCs/>
          <w:sz w:val="24"/>
          <w:szCs w:val="24"/>
        </w:rPr>
      </w:pPr>
      <w:r w:rsidRPr="00A45C08">
        <w:rPr>
          <w:b/>
          <w:bCs/>
          <w:sz w:val="24"/>
          <w:szCs w:val="24"/>
        </w:rPr>
        <w:t>1. Purpose of this A</w:t>
      </w:r>
      <w:r w:rsidR="006B17F1">
        <w:rPr>
          <w:b/>
          <w:bCs/>
          <w:sz w:val="24"/>
          <w:szCs w:val="24"/>
        </w:rPr>
        <w:t>dvice</w:t>
      </w:r>
    </w:p>
    <w:p w14:paraId="7B43D18C" w14:textId="24DFAC53" w:rsidR="00B378A9" w:rsidRDefault="00A45C08" w:rsidP="00A45C08">
      <w:pPr>
        <w:rPr>
          <w:sz w:val="24"/>
          <w:szCs w:val="24"/>
        </w:rPr>
      </w:pPr>
      <w:r w:rsidRPr="00A45C08">
        <w:rPr>
          <w:sz w:val="24"/>
          <w:szCs w:val="24"/>
        </w:rPr>
        <w:t>This</w:t>
      </w:r>
      <w:r w:rsidR="0022774B">
        <w:rPr>
          <w:sz w:val="24"/>
          <w:szCs w:val="24"/>
        </w:rPr>
        <w:t xml:space="preserve"> advice</w:t>
      </w:r>
      <w:r w:rsidRPr="00A45C08">
        <w:rPr>
          <w:sz w:val="24"/>
          <w:szCs w:val="24"/>
        </w:rPr>
        <w:t xml:space="preserve"> </w:t>
      </w:r>
      <w:r w:rsidR="004A11A2">
        <w:rPr>
          <w:sz w:val="24"/>
          <w:szCs w:val="24"/>
        </w:rPr>
        <w:t>is issued to assist appl</w:t>
      </w:r>
      <w:r w:rsidR="002A19D9">
        <w:rPr>
          <w:sz w:val="24"/>
          <w:szCs w:val="24"/>
        </w:rPr>
        <w:t xml:space="preserve">icants wishing to </w:t>
      </w:r>
      <w:r w:rsidR="003904E8">
        <w:rPr>
          <w:sz w:val="24"/>
          <w:szCs w:val="24"/>
        </w:rPr>
        <w:t>offer</w:t>
      </w:r>
      <w:r w:rsidR="002A19D9">
        <w:rPr>
          <w:sz w:val="24"/>
          <w:szCs w:val="24"/>
        </w:rPr>
        <w:t xml:space="preserve"> RPL as evidence for entry to the TQFE programme at the University of Strathclyde</w:t>
      </w:r>
      <w:r w:rsidR="006B3E54">
        <w:rPr>
          <w:sz w:val="24"/>
          <w:szCs w:val="24"/>
        </w:rPr>
        <w:t xml:space="preserve"> using Appendix B from the University of Strathclyde’s Policy on RPL and credit Transfer </w:t>
      </w:r>
      <w:r w:rsidR="0077758B">
        <w:rPr>
          <w:sz w:val="24"/>
          <w:szCs w:val="24"/>
        </w:rPr>
        <w:t>(</w:t>
      </w:r>
      <w:hyperlink r:id="rId5" w:history="1">
        <w:r w:rsidR="006B3E54" w:rsidRPr="005F6B88">
          <w:rPr>
            <w:rStyle w:val="Hyperlink"/>
            <w:sz w:val="24"/>
            <w:szCs w:val="24"/>
          </w:rPr>
          <w:t>P</w:t>
        </w:r>
        <w:r w:rsidR="006B3E54">
          <w:rPr>
            <w:rStyle w:val="Hyperlink"/>
            <w:sz w:val="24"/>
            <w:szCs w:val="24"/>
          </w:rPr>
          <w:t>o</w:t>
        </w:r>
        <w:r w:rsidR="006B3E54" w:rsidRPr="005F6B88">
          <w:rPr>
            <w:rStyle w:val="Hyperlink"/>
            <w:sz w:val="24"/>
            <w:szCs w:val="24"/>
          </w:rPr>
          <w:t xml:space="preserve">licy </w:t>
        </w:r>
        <w:r w:rsidR="006B3E54">
          <w:rPr>
            <w:rStyle w:val="Hyperlink"/>
            <w:sz w:val="24"/>
            <w:szCs w:val="24"/>
          </w:rPr>
          <w:t>on the recognition of RPL and</w:t>
        </w:r>
        <w:r w:rsidR="006B3E54" w:rsidRPr="005F6B88">
          <w:rPr>
            <w:rStyle w:val="Hyperlink"/>
            <w:sz w:val="24"/>
            <w:szCs w:val="24"/>
          </w:rPr>
          <w:t xml:space="preserve"> credit transfer</w:t>
        </w:r>
      </w:hyperlink>
      <w:r w:rsidR="0077758B">
        <w:rPr>
          <w:sz w:val="24"/>
          <w:szCs w:val="24"/>
        </w:rPr>
        <w:t>)</w:t>
      </w:r>
    </w:p>
    <w:p w14:paraId="6DE2CF6A" w14:textId="4E5337D6" w:rsidR="00535A0D" w:rsidRDefault="00B62054" w:rsidP="00A45C08">
      <w:pPr>
        <w:rPr>
          <w:sz w:val="24"/>
          <w:szCs w:val="24"/>
        </w:rPr>
      </w:pPr>
      <w:r>
        <w:rPr>
          <w:sz w:val="24"/>
          <w:szCs w:val="24"/>
        </w:rPr>
        <w:t xml:space="preserve">Although applicants </w:t>
      </w:r>
      <w:r w:rsidR="00480907">
        <w:rPr>
          <w:sz w:val="24"/>
          <w:szCs w:val="24"/>
        </w:rPr>
        <w:t xml:space="preserve">will be required to list </w:t>
      </w:r>
      <w:r w:rsidR="006B3E54">
        <w:rPr>
          <w:sz w:val="24"/>
          <w:szCs w:val="24"/>
        </w:rPr>
        <w:t xml:space="preserve">detail of </w:t>
      </w:r>
      <w:r w:rsidR="00480907">
        <w:rPr>
          <w:sz w:val="24"/>
          <w:szCs w:val="24"/>
        </w:rPr>
        <w:t>completed or partially completed award</w:t>
      </w:r>
      <w:r w:rsidR="006B3E54">
        <w:rPr>
          <w:sz w:val="24"/>
          <w:szCs w:val="24"/>
        </w:rPr>
        <w:t>(s), t</w:t>
      </w:r>
      <w:r w:rsidR="003904E8">
        <w:rPr>
          <w:sz w:val="24"/>
          <w:szCs w:val="24"/>
        </w:rPr>
        <w:t xml:space="preserve">he following advice should be used </w:t>
      </w:r>
      <w:r w:rsidR="00754E1D">
        <w:rPr>
          <w:sz w:val="24"/>
          <w:szCs w:val="24"/>
        </w:rPr>
        <w:t xml:space="preserve">in </w:t>
      </w:r>
      <w:r w:rsidR="0077758B">
        <w:rPr>
          <w:sz w:val="24"/>
          <w:szCs w:val="24"/>
        </w:rPr>
        <w:t xml:space="preserve">conjunction with </w:t>
      </w:r>
      <w:r w:rsidR="00FD09D7">
        <w:rPr>
          <w:sz w:val="24"/>
          <w:szCs w:val="24"/>
        </w:rPr>
        <w:t xml:space="preserve">Appendix B instruction as regards </w:t>
      </w:r>
      <w:r w:rsidR="00754E1D">
        <w:rPr>
          <w:sz w:val="24"/>
          <w:szCs w:val="24"/>
        </w:rPr>
        <w:t>the completion of</w:t>
      </w:r>
      <w:r w:rsidR="0077758B">
        <w:rPr>
          <w:sz w:val="24"/>
          <w:szCs w:val="24"/>
        </w:rPr>
        <w:t xml:space="preserve"> personal statement</w:t>
      </w:r>
      <w:r w:rsidR="00FD612F">
        <w:rPr>
          <w:sz w:val="24"/>
          <w:szCs w:val="24"/>
        </w:rPr>
        <w:t xml:space="preserve">. </w:t>
      </w:r>
    </w:p>
    <w:p w14:paraId="6A3AF32B" w14:textId="0BE1BF9C" w:rsidR="00A45C08" w:rsidRDefault="00FD612F" w:rsidP="00A45C08">
      <w:pPr>
        <w:rPr>
          <w:sz w:val="24"/>
          <w:szCs w:val="24"/>
        </w:rPr>
      </w:pPr>
      <w:r>
        <w:rPr>
          <w:sz w:val="24"/>
          <w:szCs w:val="24"/>
        </w:rPr>
        <w:t xml:space="preserve">The advice </w:t>
      </w:r>
      <w:r w:rsidR="00FD09D7">
        <w:rPr>
          <w:sz w:val="24"/>
          <w:szCs w:val="24"/>
        </w:rPr>
        <w:t xml:space="preserve">specifically </w:t>
      </w:r>
      <w:r w:rsidR="00E010A7">
        <w:rPr>
          <w:sz w:val="24"/>
          <w:szCs w:val="24"/>
        </w:rPr>
        <w:t xml:space="preserve">signposts </w:t>
      </w:r>
      <w:r w:rsidR="00535A0D">
        <w:rPr>
          <w:sz w:val="24"/>
          <w:szCs w:val="24"/>
        </w:rPr>
        <w:t xml:space="preserve">additional </w:t>
      </w:r>
      <w:r w:rsidR="00E0163C">
        <w:rPr>
          <w:sz w:val="24"/>
          <w:szCs w:val="24"/>
        </w:rPr>
        <w:t xml:space="preserve">detail which may be submitted by </w:t>
      </w:r>
      <w:r w:rsidR="00A45C08" w:rsidRPr="00A45C08">
        <w:rPr>
          <w:sz w:val="24"/>
          <w:szCs w:val="24"/>
        </w:rPr>
        <w:t xml:space="preserve">the applicant </w:t>
      </w:r>
      <w:r w:rsidR="00E0163C">
        <w:rPr>
          <w:sz w:val="24"/>
          <w:szCs w:val="24"/>
        </w:rPr>
        <w:t>in support of their</w:t>
      </w:r>
      <w:r w:rsidR="00A45C08" w:rsidRPr="00A45C08">
        <w:rPr>
          <w:sz w:val="24"/>
          <w:szCs w:val="24"/>
        </w:rPr>
        <w:t xml:space="preserve"> consider</w:t>
      </w:r>
      <w:r w:rsidR="00E0163C">
        <w:rPr>
          <w:sz w:val="24"/>
          <w:szCs w:val="24"/>
        </w:rPr>
        <w:t xml:space="preserve">ation </w:t>
      </w:r>
      <w:r w:rsidR="00A45C08" w:rsidRPr="00A45C08">
        <w:rPr>
          <w:sz w:val="24"/>
          <w:szCs w:val="24"/>
        </w:rPr>
        <w:t xml:space="preserve">for entry to the TQFE (Teaching Qualification in Further Education) programme </w:t>
      </w:r>
      <w:r w:rsidR="00B4396C">
        <w:rPr>
          <w:sz w:val="24"/>
          <w:szCs w:val="24"/>
        </w:rPr>
        <w:t>at graduate level</w:t>
      </w:r>
      <w:r w:rsidR="00941ECE">
        <w:rPr>
          <w:sz w:val="24"/>
          <w:szCs w:val="24"/>
        </w:rPr>
        <w:t xml:space="preserve"> (level 9) </w:t>
      </w:r>
      <w:r w:rsidR="00A45C08" w:rsidRPr="00A45C08">
        <w:rPr>
          <w:sz w:val="24"/>
          <w:szCs w:val="24"/>
        </w:rPr>
        <w:t>through recognition of prior learning, in lieu of the standard entry requirement of an HND or HNC (or equivalent) in their specialist subject area.</w:t>
      </w:r>
    </w:p>
    <w:p w14:paraId="221052B3" w14:textId="77777777" w:rsidR="00FD2E0A" w:rsidRPr="00A45C08" w:rsidRDefault="00FD2E0A" w:rsidP="00A45C08">
      <w:pPr>
        <w:rPr>
          <w:sz w:val="24"/>
          <w:szCs w:val="24"/>
        </w:rPr>
      </w:pPr>
    </w:p>
    <w:p w14:paraId="728F9CA6" w14:textId="74C876B6" w:rsidR="00A45C08" w:rsidRPr="00A45C08" w:rsidRDefault="00A45C08" w:rsidP="00A45C08">
      <w:pPr>
        <w:rPr>
          <w:b/>
          <w:bCs/>
          <w:sz w:val="24"/>
          <w:szCs w:val="24"/>
        </w:rPr>
      </w:pPr>
      <w:r w:rsidRPr="00A45C08">
        <w:rPr>
          <w:b/>
          <w:bCs/>
          <w:sz w:val="24"/>
          <w:szCs w:val="24"/>
        </w:rPr>
        <w:t>2.</w:t>
      </w:r>
      <w:r w:rsidR="00F25513">
        <w:rPr>
          <w:b/>
          <w:bCs/>
          <w:sz w:val="24"/>
          <w:szCs w:val="24"/>
        </w:rPr>
        <w:t xml:space="preserve"> Useful Background</w:t>
      </w:r>
      <w:r w:rsidRPr="00A45C08">
        <w:rPr>
          <w:b/>
          <w:bCs/>
          <w:sz w:val="24"/>
          <w:szCs w:val="24"/>
        </w:rPr>
        <w:t xml:space="preserve"> Context</w:t>
      </w:r>
    </w:p>
    <w:p w14:paraId="0A7978F4" w14:textId="71F9177E" w:rsidR="00A45C08" w:rsidRPr="00A45C08" w:rsidRDefault="006B17F1" w:rsidP="00A45C08">
      <w:pPr>
        <w:rPr>
          <w:sz w:val="24"/>
          <w:szCs w:val="24"/>
        </w:rPr>
      </w:pPr>
      <w:r>
        <w:rPr>
          <w:sz w:val="24"/>
          <w:szCs w:val="24"/>
        </w:rPr>
        <w:t xml:space="preserve">In addition to </w:t>
      </w:r>
      <w:r w:rsidR="004C246B">
        <w:rPr>
          <w:sz w:val="24"/>
          <w:szCs w:val="24"/>
        </w:rPr>
        <w:t xml:space="preserve">meeting </w:t>
      </w:r>
      <w:r w:rsidR="00241F09">
        <w:rPr>
          <w:sz w:val="24"/>
          <w:szCs w:val="24"/>
        </w:rPr>
        <w:t xml:space="preserve">advertised levels of entry award in Literacy, Numeracy and Digital Literacy, </w:t>
      </w:r>
      <w:r w:rsidR="001465B7">
        <w:rPr>
          <w:sz w:val="24"/>
          <w:szCs w:val="24"/>
        </w:rPr>
        <w:t>n</w:t>
      </w:r>
      <w:r w:rsidR="00A45C08" w:rsidRPr="00A45C08">
        <w:rPr>
          <w:sz w:val="24"/>
          <w:szCs w:val="24"/>
        </w:rPr>
        <w:t>ormally, entry to the TQFE requires applicants to hold:</w:t>
      </w:r>
    </w:p>
    <w:p w14:paraId="7121EACD" w14:textId="77777777" w:rsidR="00A45C08" w:rsidRPr="00A45C08" w:rsidRDefault="00A45C08" w:rsidP="00A45C08">
      <w:pPr>
        <w:numPr>
          <w:ilvl w:val="0"/>
          <w:numId w:val="1"/>
        </w:numPr>
        <w:rPr>
          <w:sz w:val="24"/>
          <w:szCs w:val="24"/>
        </w:rPr>
      </w:pPr>
      <w:r w:rsidRPr="00A45C08">
        <w:rPr>
          <w:sz w:val="24"/>
          <w:szCs w:val="24"/>
        </w:rPr>
        <w:t>A Higher National Diploma (HND), or</w:t>
      </w:r>
    </w:p>
    <w:p w14:paraId="3D39A339" w14:textId="7A60BE88" w:rsidR="00A45C08" w:rsidRPr="00A45C08" w:rsidRDefault="00A45C08" w:rsidP="00A45C08">
      <w:pPr>
        <w:numPr>
          <w:ilvl w:val="0"/>
          <w:numId w:val="1"/>
        </w:numPr>
        <w:rPr>
          <w:sz w:val="24"/>
          <w:szCs w:val="24"/>
        </w:rPr>
      </w:pPr>
      <w:r w:rsidRPr="00A45C08">
        <w:rPr>
          <w:sz w:val="24"/>
          <w:szCs w:val="24"/>
        </w:rPr>
        <w:t>A Higher National Certificate (HNC) in the relevant subject area (minimum)</w:t>
      </w:r>
      <w:r w:rsidR="001465B7">
        <w:rPr>
          <w:sz w:val="24"/>
          <w:szCs w:val="24"/>
        </w:rPr>
        <w:t xml:space="preserve"> where HNC is the highest award available</w:t>
      </w:r>
      <w:r w:rsidR="004C4E3D">
        <w:rPr>
          <w:sz w:val="24"/>
          <w:szCs w:val="24"/>
        </w:rPr>
        <w:t xml:space="preserve"> within the discipline</w:t>
      </w:r>
    </w:p>
    <w:p w14:paraId="5AFB1FAB" w14:textId="2692A59F" w:rsidR="00A45C08" w:rsidRDefault="00A45C08" w:rsidP="00A45C08">
      <w:pPr>
        <w:rPr>
          <w:sz w:val="24"/>
          <w:szCs w:val="24"/>
        </w:rPr>
      </w:pPr>
      <w:r w:rsidRPr="00A45C08">
        <w:rPr>
          <w:sz w:val="24"/>
          <w:szCs w:val="24"/>
        </w:rPr>
        <w:t xml:space="preserve">However, </w:t>
      </w:r>
      <w:r w:rsidR="00F25513">
        <w:rPr>
          <w:sz w:val="24"/>
          <w:szCs w:val="24"/>
        </w:rPr>
        <w:t xml:space="preserve">it is recognised that </w:t>
      </w:r>
      <w:r w:rsidR="00DB2720">
        <w:rPr>
          <w:sz w:val="24"/>
          <w:szCs w:val="24"/>
        </w:rPr>
        <w:t xml:space="preserve">in certain circumstances, </w:t>
      </w:r>
      <w:r w:rsidRPr="00A45C08">
        <w:rPr>
          <w:sz w:val="24"/>
          <w:szCs w:val="24"/>
        </w:rPr>
        <w:t xml:space="preserve">applicants </w:t>
      </w:r>
      <w:r w:rsidR="004C4E3D">
        <w:rPr>
          <w:sz w:val="24"/>
          <w:szCs w:val="24"/>
        </w:rPr>
        <w:t>may be able to</w:t>
      </w:r>
      <w:r w:rsidRPr="00A45C08">
        <w:rPr>
          <w:sz w:val="24"/>
          <w:szCs w:val="24"/>
        </w:rPr>
        <w:t xml:space="preserve"> demonstrate an equivalent level of knowledge, understanding, and professional competence through prior certificated or experiential learning, entry may be granted under the University’s RPL policy.</w:t>
      </w:r>
    </w:p>
    <w:p w14:paraId="53CDA797" w14:textId="77777777" w:rsidR="00FD2E0A" w:rsidRPr="00A45C08" w:rsidRDefault="00FD2E0A" w:rsidP="00A45C08">
      <w:pPr>
        <w:rPr>
          <w:sz w:val="24"/>
          <w:szCs w:val="24"/>
        </w:rPr>
      </w:pPr>
    </w:p>
    <w:p w14:paraId="6EFACD4B" w14:textId="31A4698D" w:rsidR="00A45C08" w:rsidRPr="00A45C08" w:rsidRDefault="00A45C08" w:rsidP="00A45C08">
      <w:pPr>
        <w:rPr>
          <w:b/>
          <w:bCs/>
          <w:sz w:val="24"/>
          <w:szCs w:val="24"/>
        </w:rPr>
      </w:pPr>
      <w:r w:rsidRPr="00A45C08">
        <w:rPr>
          <w:b/>
          <w:bCs/>
          <w:sz w:val="24"/>
          <w:szCs w:val="24"/>
        </w:rPr>
        <w:t xml:space="preserve">3. </w:t>
      </w:r>
      <w:r w:rsidR="006048FD">
        <w:rPr>
          <w:b/>
          <w:bCs/>
          <w:sz w:val="24"/>
          <w:szCs w:val="24"/>
        </w:rPr>
        <w:t>RPL</w:t>
      </w:r>
      <w:r w:rsidR="00377E5F">
        <w:rPr>
          <w:b/>
          <w:bCs/>
          <w:sz w:val="24"/>
          <w:szCs w:val="24"/>
        </w:rPr>
        <w:t xml:space="preserve">: Other Award </w:t>
      </w:r>
      <w:r w:rsidR="000F7329">
        <w:rPr>
          <w:b/>
          <w:bCs/>
          <w:sz w:val="24"/>
          <w:szCs w:val="24"/>
        </w:rPr>
        <w:t>Equivalence</w:t>
      </w:r>
      <w:r w:rsidR="00377E5F">
        <w:rPr>
          <w:b/>
          <w:bCs/>
          <w:sz w:val="24"/>
          <w:szCs w:val="24"/>
        </w:rPr>
        <w:t xml:space="preserve"> </w:t>
      </w:r>
      <w:r w:rsidR="00F90C16">
        <w:rPr>
          <w:b/>
          <w:bCs/>
          <w:sz w:val="24"/>
          <w:szCs w:val="24"/>
        </w:rPr>
        <w:t>for</w:t>
      </w:r>
      <w:r w:rsidR="00377E5F">
        <w:rPr>
          <w:b/>
          <w:bCs/>
          <w:sz w:val="24"/>
          <w:szCs w:val="24"/>
        </w:rPr>
        <w:t xml:space="preserve"> TQFE</w:t>
      </w:r>
      <w:r w:rsidR="00F90C16">
        <w:rPr>
          <w:b/>
          <w:bCs/>
          <w:sz w:val="24"/>
          <w:szCs w:val="24"/>
        </w:rPr>
        <w:t xml:space="preserve"> entry</w:t>
      </w:r>
    </w:p>
    <w:p w14:paraId="26A29ED9" w14:textId="15034B2E" w:rsidR="00A45C08" w:rsidRPr="00A45C08" w:rsidRDefault="00A45C08" w:rsidP="00A45C08">
      <w:pPr>
        <w:rPr>
          <w:sz w:val="24"/>
          <w:szCs w:val="24"/>
        </w:rPr>
      </w:pPr>
      <w:r w:rsidRPr="00A45C08">
        <w:rPr>
          <w:sz w:val="24"/>
          <w:szCs w:val="24"/>
        </w:rPr>
        <w:t>The applicant</w:t>
      </w:r>
      <w:r w:rsidR="00F90C16">
        <w:rPr>
          <w:sz w:val="24"/>
          <w:szCs w:val="24"/>
        </w:rPr>
        <w:t xml:space="preserve"> may</w:t>
      </w:r>
      <w:r w:rsidRPr="00A45C08">
        <w:rPr>
          <w:sz w:val="24"/>
          <w:szCs w:val="24"/>
        </w:rPr>
        <w:t xml:space="preserve"> provide evidence of relevant qualifications and professional experience demonstrating equivalence to SCQF Level 7/8 (HNC/HND). </w:t>
      </w:r>
      <w:r w:rsidR="00DB2720">
        <w:rPr>
          <w:sz w:val="24"/>
          <w:szCs w:val="24"/>
        </w:rPr>
        <w:t>For instance, a</w:t>
      </w:r>
      <w:r w:rsidRPr="00A45C08">
        <w:rPr>
          <w:sz w:val="24"/>
          <w:szCs w:val="24"/>
        </w:rPr>
        <w:t>cceptable evidence may include:</w:t>
      </w:r>
    </w:p>
    <w:p w14:paraId="47B4B430" w14:textId="7A8BB220" w:rsidR="00A45C08" w:rsidRDefault="00A45C08" w:rsidP="00A45C08">
      <w:pPr>
        <w:numPr>
          <w:ilvl w:val="0"/>
          <w:numId w:val="2"/>
        </w:numPr>
        <w:rPr>
          <w:sz w:val="24"/>
          <w:szCs w:val="24"/>
        </w:rPr>
      </w:pPr>
      <w:r w:rsidRPr="00A45C08">
        <w:rPr>
          <w:b/>
          <w:bCs/>
          <w:sz w:val="24"/>
          <w:szCs w:val="24"/>
        </w:rPr>
        <w:lastRenderedPageBreak/>
        <w:t xml:space="preserve">City &amp; Guilds (Level </w:t>
      </w:r>
      <w:r w:rsidR="0080012C">
        <w:rPr>
          <w:b/>
          <w:bCs/>
          <w:sz w:val="24"/>
          <w:szCs w:val="24"/>
        </w:rPr>
        <w:t>4</w:t>
      </w:r>
      <w:r w:rsidRPr="00A45C08">
        <w:rPr>
          <w:b/>
          <w:bCs/>
          <w:sz w:val="24"/>
          <w:szCs w:val="24"/>
        </w:rPr>
        <w:t xml:space="preserve"> or above)</w:t>
      </w:r>
      <w:r w:rsidRPr="00A45C08">
        <w:rPr>
          <w:sz w:val="24"/>
          <w:szCs w:val="24"/>
        </w:rPr>
        <w:t xml:space="preserve"> </w:t>
      </w:r>
      <w:bookmarkStart w:id="0" w:name="_Hlk214270618"/>
      <w:r w:rsidRPr="00A45C08">
        <w:rPr>
          <w:sz w:val="24"/>
          <w:szCs w:val="24"/>
        </w:rPr>
        <w:t>or equivalent vocational qualifications within the specialist subject area.</w:t>
      </w:r>
      <w:bookmarkEnd w:id="0"/>
    </w:p>
    <w:p w14:paraId="3B765EEF" w14:textId="707F010B" w:rsidR="00027A0B" w:rsidRDefault="00027A0B" w:rsidP="00027A0B">
      <w:pPr>
        <w:numPr>
          <w:ilvl w:val="0"/>
          <w:numId w:val="2"/>
        </w:numPr>
        <w:rPr>
          <w:sz w:val="24"/>
          <w:szCs w:val="24"/>
        </w:rPr>
      </w:pPr>
      <w:r>
        <w:rPr>
          <w:b/>
          <w:bCs/>
          <w:sz w:val="24"/>
          <w:szCs w:val="24"/>
        </w:rPr>
        <w:t xml:space="preserve">CIPS Advanced Certificate (RQF Level 4) </w:t>
      </w:r>
      <w:r w:rsidRPr="00A45C08">
        <w:rPr>
          <w:sz w:val="24"/>
          <w:szCs w:val="24"/>
        </w:rPr>
        <w:t>or equivalent vocational qualifications within the specialist subject area.</w:t>
      </w:r>
    </w:p>
    <w:p w14:paraId="5BBC4147" w14:textId="5ED9531E" w:rsidR="00BD7D8E" w:rsidRPr="0072578B" w:rsidRDefault="00BD7D8E" w:rsidP="00027A0B">
      <w:pPr>
        <w:numPr>
          <w:ilvl w:val="0"/>
          <w:numId w:val="2"/>
        </w:numPr>
        <w:rPr>
          <w:sz w:val="24"/>
          <w:szCs w:val="24"/>
        </w:rPr>
      </w:pPr>
      <w:r>
        <w:rPr>
          <w:b/>
          <w:bCs/>
          <w:sz w:val="24"/>
          <w:szCs w:val="24"/>
        </w:rPr>
        <w:t>Other qualification of similar level may be considered on review</w:t>
      </w:r>
    </w:p>
    <w:p w14:paraId="1477D76A" w14:textId="77777777" w:rsidR="00FD2E0A" w:rsidRDefault="00FD2E0A" w:rsidP="0072578B">
      <w:pPr>
        <w:rPr>
          <w:b/>
          <w:bCs/>
          <w:sz w:val="24"/>
          <w:szCs w:val="24"/>
        </w:rPr>
      </w:pPr>
    </w:p>
    <w:p w14:paraId="34D5DEF5" w14:textId="2BA92EDE" w:rsidR="0072578B" w:rsidRDefault="0072578B" w:rsidP="0072578B">
      <w:pPr>
        <w:rPr>
          <w:b/>
          <w:bCs/>
          <w:sz w:val="24"/>
          <w:szCs w:val="24"/>
        </w:rPr>
      </w:pPr>
      <w:r>
        <w:rPr>
          <w:b/>
          <w:bCs/>
          <w:sz w:val="24"/>
          <w:szCs w:val="24"/>
        </w:rPr>
        <w:t xml:space="preserve">4. </w:t>
      </w:r>
      <w:r w:rsidR="008369D9">
        <w:rPr>
          <w:b/>
          <w:bCs/>
          <w:sz w:val="24"/>
          <w:szCs w:val="24"/>
        </w:rPr>
        <w:t xml:space="preserve">RPL </w:t>
      </w:r>
      <w:r w:rsidR="002C4E3F" w:rsidRPr="002C4E3F">
        <w:rPr>
          <w:b/>
          <w:bCs/>
          <w:sz w:val="24"/>
          <w:szCs w:val="24"/>
        </w:rPr>
        <w:t>Evidence Required When Standard Entry Qualifications Are Not Held</w:t>
      </w:r>
    </w:p>
    <w:p w14:paraId="4BDC082F" w14:textId="243ADDC7" w:rsidR="00520200" w:rsidRDefault="00520200" w:rsidP="0072578B">
      <w:pPr>
        <w:rPr>
          <w:b/>
          <w:bCs/>
          <w:sz w:val="24"/>
          <w:szCs w:val="24"/>
        </w:rPr>
      </w:pPr>
      <w:r w:rsidRPr="00520200">
        <w:rPr>
          <w:sz w:val="24"/>
          <w:szCs w:val="24"/>
        </w:rPr>
        <w:t>Although</w:t>
      </w:r>
      <w:r>
        <w:rPr>
          <w:b/>
          <w:bCs/>
          <w:sz w:val="24"/>
          <w:szCs w:val="24"/>
        </w:rPr>
        <w:t xml:space="preserve"> </w:t>
      </w:r>
      <w:r w:rsidRPr="00A45C08">
        <w:rPr>
          <w:b/>
          <w:bCs/>
          <w:sz w:val="24"/>
          <w:szCs w:val="24"/>
        </w:rPr>
        <w:t>PDA in Teaching Practice</w:t>
      </w:r>
      <w:r w:rsidRPr="00A45C08">
        <w:rPr>
          <w:sz w:val="24"/>
          <w:szCs w:val="24"/>
        </w:rPr>
        <w:t>, or comparable professional development in Learning and Teaching</w:t>
      </w:r>
      <w:r>
        <w:rPr>
          <w:sz w:val="24"/>
          <w:szCs w:val="24"/>
        </w:rPr>
        <w:t xml:space="preserve"> will be considered in lieu of Literac</w:t>
      </w:r>
      <w:r w:rsidR="009D641C">
        <w:rPr>
          <w:sz w:val="24"/>
          <w:szCs w:val="24"/>
        </w:rPr>
        <w:t>y</w:t>
      </w:r>
      <w:r>
        <w:rPr>
          <w:sz w:val="24"/>
          <w:szCs w:val="24"/>
        </w:rPr>
        <w:t>, Numeracy and Digital Literacy entry standards</w:t>
      </w:r>
      <w:r w:rsidR="009D641C">
        <w:rPr>
          <w:sz w:val="24"/>
          <w:szCs w:val="24"/>
        </w:rPr>
        <w:t>, successful award</w:t>
      </w:r>
      <w:r>
        <w:rPr>
          <w:sz w:val="24"/>
          <w:szCs w:val="24"/>
        </w:rPr>
        <w:t xml:space="preserve"> does not gain automatic entry if held alone.</w:t>
      </w:r>
    </w:p>
    <w:p w14:paraId="02676905" w14:textId="4E8374E8" w:rsidR="00F9313F" w:rsidRDefault="00845089" w:rsidP="00F9313F">
      <w:pPr>
        <w:rPr>
          <w:sz w:val="24"/>
          <w:szCs w:val="24"/>
        </w:rPr>
      </w:pPr>
      <w:r>
        <w:rPr>
          <w:sz w:val="24"/>
          <w:szCs w:val="24"/>
        </w:rPr>
        <w:t xml:space="preserve">Applicants </w:t>
      </w:r>
      <w:r w:rsidR="009D641C">
        <w:rPr>
          <w:sz w:val="24"/>
          <w:szCs w:val="24"/>
        </w:rPr>
        <w:t xml:space="preserve">pursuing RPL for entry to the TQFE course should also </w:t>
      </w:r>
      <w:r w:rsidR="00FF7928">
        <w:rPr>
          <w:sz w:val="24"/>
          <w:szCs w:val="24"/>
        </w:rPr>
        <w:t>submit evidence of one or more of the following</w:t>
      </w:r>
      <w:r w:rsidR="00F9313F">
        <w:rPr>
          <w:sz w:val="24"/>
          <w:szCs w:val="24"/>
        </w:rPr>
        <w:t xml:space="preserve"> from the list below in the form of a </w:t>
      </w:r>
      <w:r w:rsidR="00F9313F">
        <w:rPr>
          <w:b/>
          <w:bCs/>
          <w:sz w:val="24"/>
          <w:szCs w:val="24"/>
        </w:rPr>
        <w:t>r</w:t>
      </w:r>
      <w:r w:rsidR="00F9313F" w:rsidRPr="00A45C08">
        <w:rPr>
          <w:b/>
          <w:bCs/>
          <w:sz w:val="24"/>
          <w:szCs w:val="24"/>
        </w:rPr>
        <w:t>eflective statement</w:t>
      </w:r>
      <w:r w:rsidR="00F9313F" w:rsidRPr="00A45C08">
        <w:rPr>
          <w:sz w:val="24"/>
          <w:szCs w:val="24"/>
        </w:rPr>
        <w:t xml:space="preserve"> </w:t>
      </w:r>
      <w:r w:rsidR="00F9313F">
        <w:rPr>
          <w:sz w:val="24"/>
          <w:szCs w:val="24"/>
        </w:rPr>
        <w:t xml:space="preserve">regarding </w:t>
      </w:r>
      <w:r w:rsidR="00F9313F" w:rsidRPr="00F9313F">
        <w:rPr>
          <w:b/>
          <w:bCs/>
          <w:sz w:val="24"/>
          <w:szCs w:val="24"/>
        </w:rPr>
        <w:t xml:space="preserve">learning gained through life and/or work experiences </w:t>
      </w:r>
      <w:r w:rsidR="00F9313F" w:rsidRPr="00A45C08">
        <w:rPr>
          <w:sz w:val="24"/>
          <w:szCs w:val="24"/>
        </w:rPr>
        <w:t>demonstrating the integration of learning from professional experience and formal development activities.</w:t>
      </w:r>
    </w:p>
    <w:p w14:paraId="77FB653A" w14:textId="77777777" w:rsidR="00F9313F" w:rsidRPr="00DB2720" w:rsidRDefault="00F9313F" w:rsidP="0072578B">
      <w:pPr>
        <w:rPr>
          <w:sz w:val="24"/>
          <w:szCs w:val="24"/>
        </w:rPr>
      </w:pPr>
    </w:p>
    <w:p w14:paraId="4DD9806F" w14:textId="118B75D5" w:rsidR="00FA2CD0" w:rsidRPr="00FA2CD0" w:rsidRDefault="002D7D03" w:rsidP="00A45C08">
      <w:pPr>
        <w:numPr>
          <w:ilvl w:val="0"/>
          <w:numId w:val="2"/>
        </w:numPr>
        <w:rPr>
          <w:sz w:val="24"/>
          <w:szCs w:val="24"/>
        </w:rPr>
      </w:pPr>
      <w:r>
        <w:rPr>
          <w:b/>
          <w:bCs/>
          <w:sz w:val="24"/>
          <w:szCs w:val="24"/>
        </w:rPr>
        <w:t xml:space="preserve">Normally a minimum of </w:t>
      </w:r>
      <w:r w:rsidR="00FA2CD0" w:rsidRPr="00FA2CD0">
        <w:rPr>
          <w:b/>
          <w:bCs/>
          <w:sz w:val="24"/>
          <w:szCs w:val="24"/>
        </w:rPr>
        <w:t xml:space="preserve">3 years’ </w:t>
      </w:r>
      <w:r>
        <w:rPr>
          <w:b/>
          <w:bCs/>
          <w:sz w:val="24"/>
          <w:szCs w:val="24"/>
        </w:rPr>
        <w:t xml:space="preserve">significant </w:t>
      </w:r>
      <w:r w:rsidR="00FA2CD0" w:rsidRPr="00FA2CD0">
        <w:rPr>
          <w:b/>
          <w:bCs/>
          <w:sz w:val="24"/>
          <w:szCs w:val="24"/>
        </w:rPr>
        <w:t xml:space="preserve">experience in a Further Education teaching role, </w:t>
      </w:r>
      <w:r w:rsidR="00FA2CD0" w:rsidRPr="00FA2CD0">
        <w:rPr>
          <w:sz w:val="24"/>
          <w:szCs w:val="24"/>
        </w:rPr>
        <w:t>demonstrating sustained engagement in planning, delivering, and assessing learning</w:t>
      </w:r>
      <w:r w:rsidR="00DD2168">
        <w:rPr>
          <w:sz w:val="24"/>
          <w:szCs w:val="24"/>
        </w:rPr>
        <w:t>.</w:t>
      </w:r>
    </w:p>
    <w:p w14:paraId="6BC6F3F9" w14:textId="10B36940" w:rsidR="00A45C08" w:rsidRPr="00A45C08" w:rsidRDefault="00A45C08" w:rsidP="00A45C08">
      <w:pPr>
        <w:numPr>
          <w:ilvl w:val="0"/>
          <w:numId w:val="2"/>
        </w:numPr>
        <w:rPr>
          <w:sz w:val="24"/>
          <w:szCs w:val="24"/>
        </w:rPr>
      </w:pPr>
      <w:r w:rsidRPr="00A45C08">
        <w:rPr>
          <w:b/>
          <w:bCs/>
          <w:sz w:val="24"/>
          <w:szCs w:val="24"/>
        </w:rPr>
        <w:t>Recent and relevant CPD</w:t>
      </w:r>
      <w:r w:rsidRPr="00A45C08">
        <w:rPr>
          <w:sz w:val="24"/>
          <w:szCs w:val="24"/>
        </w:rPr>
        <w:t xml:space="preserve"> specifically focused on pedagogy, assessment, inclusion, or professional practice within FE.</w:t>
      </w:r>
    </w:p>
    <w:p w14:paraId="1291EF37" w14:textId="51FBC46A" w:rsidR="00DA393A" w:rsidRDefault="00DA393A" w:rsidP="00DA393A">
      <w:pPr>
        <w:numPr>
          <w:ilvl w:val="0"/>
          <w:numId w:val="2"/>
        </w:numPr>
        <w:rPr>
          <w:sz w:val="24"/>
          <w:szCs w:val="24"/>
        </w:rPr>
      </w:pPr>
      <w:r w:rsidRPr="00DA393A">
        <w:rPr>
          <w:b/>
          <w:bCs/>
          <w:sz w:val="24"/>
          <w:szCs w:val="24"/>
        </w:rPr>
        <w:t>Professional Excellence Achievement</w:t>
      </w:r>
      <w:r>
        <w:rPr>
          <w:sz w:val="24"/>
          <w:szCs w:val="24"/>
        </w:rPr>
        <w:t xml:space="preserve">, </w:t>
      </w:r>
      <w:r w:rsidR="000536AC">
        <w:rPr>
          <w:sz w:val="24"/>
          <w:szCs w:val="24"/>
        </w:rPr>
        <w:t xml:space="preserve">normally including </w:t>
      </w:r>
      <w:r>
        <w:rPr>
          <w:sz w:val="24"/>
          <w:szCs w:val="24"/>
        </w:rPr>
        <w:t>e</w:t>
      </w:r>
      <w:r w:rsidRPr="00DA393A">
        <w:rPr>
          <w:sz w:val="24"/>
          <w:szCs w:val="24"/>
        </w:rPr>
        <w:t>vidence of recognised professional excellence, such as an industry award or formal commendation demonstrating outstanding expertise, contribution, or achievement within the applicant’s specialist field.</w:t>
      </w:r>
    </w:p>
    <w:p w14:paraId="6D3170DB" w14:textId="39EED0FF" w:rsidR="00DA393A" w:rsidRPr="00FD2E0A" w:rsidRDefault="00221930" w:rsidP="00FD2E0A">
      <w:pPr>
        <w:numPr>
          <w:ilvl w:val="0"/>
          <w:numId w:val="2"/>
        </w:numPr>
        <w:rPr>
          <w:sz w:val="24"/>
          <w:szCs w:val="24"/>
        </w:rPr>
      </w:pPr>
      <w:r>
        <w:rPr>
          <w:b/>
          <w:bCs/>
          <w:sz w:val="24"/>
          <w:szCs w:val="24"/>
        </w:rPr>
        <w:t xml:space="preserve">Award of Personal &amp; Professional Development </w:t>
      </w:r>
      <w:r w:rsidR="005C347B">
        <w:rPr>
          <w:b/>
          <w:bCs/>
          <w:sz w:val="24"/>
          <w:szCs w:val="24"/>
        </w:rPr>
        <w:t xml:space="preserve">(e.g. </w:t>
      </w:r>
      <w:r w:rsidR="007B7822" w:rsidRPr="007B7822">
        <w:rPr>
          <w:b/>
          <w:bCs/>
          <w:sz w:val="24"/>
          <w:szCs w:val="24"/>
        </w:rPr>
        <w:t>HOW2 Pedagogy Champion (Blue)</w:t>
      </w:r>
      <w:r w:rsidR="005C347B" w:rsidRPr="005C347B">
        <w:rPr>
          <w:sz w:val="24"/>
          <w:szCs w:val="24"/>
        </w:rPr>
        <w:t xml:space="preserve"> </w:t>
      </w:r>
      <w:r w:rsidR="007B7822" w:rsidRPr="007B7822">
        <w:rPr>
          <w:sz w:val="24"/>
          <w:szCs w:val="24"/>
        </w:rPr>
        <w:t>status, demonstrating meaningful engagement with the TeachingHOW2s platform and the ability to apply its core pedagogical tools to enhance teaching, learning</w:t>
      </w:r>
      <w:r w:rsidR="005C347B">
        <w:rPr>
          <w:sz w:val="24"/>
          <w:szCs w:val="24"/>
        </w:rPr>
        <w:t>)</w:t>
      </w:r>
      <w:r w:rsidR="007B7822" w:rsidRPr="00FD2E0A">
        <w:rPr>
          <w:sz w:val="24"/>
          <w:szCs w:val="24"/>
        </w:rPr>
        <w:t>.</w:t>
      </w:r>
      <w:r w:rsidR="003E264B" w:rsidRPr="00FD2E0A">
        <w:rPr>
          <w:sz w:val="24"/>
          <w:szCs w:val="24"/>
        </w:rPr>
        <w:t xml:space="preserve"> If not available, similar </w:t>
      </w:r>
      <w:r w:rsidR="00546BB0" w:rsidRPr="00FD2E0A">
        <w:rPr>
          <w:sz w:val="24"/>
          <w:szCs w:val="24"/>
        </w:rPr>
        <w:t xml:space="preserve">learning &amp; development accreditation accepted. </w:t>
      </w:r>
    </w:p>
    <w:p w14:paraId="454D5C74" w14:textId="775C0FEF" w:rsidR="000F7329" w:rsidRPr="007B7822" w:rsidRDefault="005C347B" w:rsidP="007B7822">
      <w:pPr>
        <w:numPr>
          <w:ilvl w:val="0"/>
          <w:numId w:val="2"/>
        </w:numPr>
        <w:rPr>
          <w:sz w:val="24"/>
          <w:szCs w:val="24"/>
        </w:rPr>
      </w:pPr>
      <w:r>
        <w:rPr>
          <w:b/>
          <w:bCs/>
          <w:sz w:val="24"/>
          <w:szCs w:val="24"/>
        </w:rPr>
        <w:t>Testimony derived from r</w:t>
      </w:r>
      <w:r w:rsidR="000F7329">
        <w:rPr>
          <w:b/>
          <w:bCs/>
          <w:sz w:val="24"/>
          <w:szCs w:val="24"/>
        </w:rPr>
        <w:t>eports from most recent</w:t>
      </w:r>
      <w:r w:rsidR="006965E2">
        <w:rPr>
          <w:b/>
          <w:bCs/>
          <w:sz w:val="24"/>
          <w:szCs w:val="24"/>
        </w:rPr>
        <w:t>ly completed Professional Development Review (PDR)</w:t>
      </w:r>
      <w:r w:rsidR="001D113A">
        <w:rPr>
          <w:b/>
          <w:bCs/>
          <w:sz w:val="24"/>
          <w:szCs w:val="24"/>
        </w:rPr>
        <w:t xml:space="preserve">, </w:t>
      </w:r>
      <w:r w:rsidR="00513DC2" w:rsidRPr="00513DC2">
        <w:rPr>
          <w:sz w:val="24"/>
          <w:szCs w:val="24"/>
        </w:rPr>
        <w:t>usually</w:t>
      </w:r>
      <w:r w:rsidR="00513DC2">
        <w:rPr>
          <w:b/>
          <w:bCs/>
          <w:sz w:val="24"/>
          <w:szCs w:val="24"/>
        </w:rPr>
        <w:t xml:space="preserve"> </w:t>
      </w:r>
      <w:r w:rsidR="00513DC2">
        <w:rPr>
          <w:sz w:val="24"/>
          <w:szCs w:val="24"/>
        </w:rPr>
        <w:t>highlighting a sustained commitment to</w:t>
      </w:r>
      <w:r w:rsidR="001D113A" w:rsidRPr="001D113A">
        <w:rPr>
          <w:sz w:val="24"/>
          <w:szCs w:val="24"/>
        </w:rPr>
        <w:t xml:space="preserve"> reflective practice, identified strengths, areas of professional growth</w:t>
      </w:r>
      <w:r w:rsidR="00673C03">
        <w:rPr>
          <w:sz w:val="24"/>
          <w:szCs w:val="24"/>
        </w:rPr>
        <w:t xml:space="preserve"> and if appropriate, observed practice</w:t>
      </w:r>
      <w:r w:rsidR="001D113A" w:rsidRPr="001D113A">
        <w:rPr>
          <w:sz w:val="24"/>
          <w:szCs w:val="24"/>
        </w:rPr>
        <w:t>.</w:t>
      </w:r>
    </w:p>
    <w:p w14:paraId="0F742296" w14:textId="20F7D4F1" w:rsidR="00A45C08" w:rsidRDefault="00A45C08" w:rsidP="00A45C08">
      <w:pPr>
        <w:rPr>
          <w:sz w:val="24"/>
          <w:szCs w:val="24"/>
        </w:rPr>
      </w:pPr>
    </w:p>
    <w:p w14:paraId="7BFE7920" w14:textId="77777777" w:rsidR="00DF2AA4" w:rsidRDefault="00DF2AA4" w:rsidP="00A45C08">
      <w:pPr>
        <w:rPr>
          <w:sz w:val="24"/>
          <w:szCs w:val="24"/>
        </w:rPr>
      </w:pPr>
    </w:p>
    <w:p w14:paraId="16E89B3A" w14:textId="77777777" w:rsidR="00DF2AA4" w:rsidRPr="00A45C08" w:rsidRDefault="00DF2AA4" w:rsidP="00A45C08">
      <w:pPr>
        <w:rPr>
          <w:sz w:val="24"/>
          <w:szCs w:val="24"/>
        </w:rPr>
      </w:pPr>
    </w:p>
    <w:p w14:paraId="6DD46B71" w14:textId="77777777" w:rsidR="00A45C08" w:rsidRDefault="00A45C08" w:rsidP="00A45C08">
      <w:pPr>
        <w:rPr>
          <w:b/>
          <w:bCs/>
          <w:sz w:val="24"/>
          <w:szCs w:val="24"/>
        </w:rPr>
      </w:pPr>
      <w:r w:rsidRPr="00A45C08">
        <w:rPr>
          <w:b/>
          <w:bCs/>
          <w:sz w:val="24"/>
          <w:szCs w:val="24"/>
        </w:rPr>
        <w:lastRenderedPageBreak/>
        <w:t>6. Assessment and Outcome</w:t>
      </w:r>
    </w:p>
    <w:p w14:paraId="28245547" w14:textId="6E7EFDEA" w:rsidR="00162E23" w:rsidRPr="00162E23" w:rsidRDefault="00162E23" w:rsidP="00A45C08">
      <w:pPr>
        <w:rPr>
          <w:sz w:val="24"/>
          <w:szCs w:val="24"/>
        </w:rPr>
      </w:pPr>
      <w:r w:rsidRPr="00162E23">
        <w:rPr>
          <w:sz w:val="24"/>
          <w:szCs w:val="24"/>
        </w:rPr>
        <w:t>All RPL applications will be assessed by a panel drawn f</w:t>
      </w:r>
      <w:r>
        <w:rPr>
          <w:sz w:val="24"/>
          <w:szCs w:val="24"/>
        </w:rPr>
        <w:t>rom</w:t>
      </w:r>
      <w:r w:rsidRPr="00162E23">
        <w:rPr>
          <w:sz w:val="24"/>
          <w:szCs w:val="24"/>
        </w:rPr>
        <w:t xml:space="preserve"> Strathclyde Institute of Education</w:t>
      </w:r>
      <w:r w:rsidR="006A3443">
        <w:rPr>
          <w:sz w:val="24"/>
          <w:szCs w:val="24"/>
        </w:rPr>
        <w:t xml:space="preserve"> (SIoE)</w:t>
      </w:r>
      <w:r w:rsidRPr="00162E23">
        <w:rPr>
          <w:sz w:val="24"/>
          <w:szCs w:val="24"/>
        </w:rPr>
        <w:t xml:space="preserve"> staff</w:t>
      </w:r>
      <w:r w:rsidR="00A06867">
        <w:rPr>
          <w:sz w:val="24"/>
          <w:szCs w:val="24"/>
        </w:rPr>
        <w:t xml:space="preserve"> who teach on the TQFE programme</w:t>
      </w:r>
      <w:r w:rsidRPr="00162E23">
        <w:rPr>
          <w:sz w:val="24"/>
          <w:szCs w:val="24"/>
        </w:rPr>
        <w:t>.</w:t>
      </w:r>
    </w:p>
    <w:p w14:paraId="61CE33F3" w14:textId="7E62BF95" w:rsidR="00A45C08" w:rsidRPr="00A45C08" w:rsidRDefault="00A45C08" w:rsidP="00A45C08">
      <w:pPr>
        <w:rPr>
          <w:sz w:val="24"/>
          <w:szCs w:val="24"/>
        </w:rPr>
      </w:pPr>
      <w:r w:rsidRPr="00A45C08">
        <w:rPr>
          <w:sz w:val="24"/>
          <w:szCs w:val="24"/>
        </w:rPr>
        <w:t xml:space="preserve">Based on the evidence provided and assessed, the panel </w:t>
      </w:r>
      <w:r w:rsidR="006A3443">
        <w:rPr>
          <w:sz w:val="24"/>
          <w:szCs w:val="24"/>
        </w:rPr>
        <w:t>will consider if</w:t>
      </w:r>
      <w:r w:rsidRPr="00A45C08">
        <w:rPr>
          <w:sz w:val="24"/>
          <w:szCs w:val="24"/>
        </w:rPr>
        <w:t xml:space="preserve"> the applicant has demonstrated equivalence to the knowledge and understanding expected of a candidate meeting the standard entry requirements.</w:t>
      </w:r>
      <w:r w:rsidR="006A3443">
        <w:rPr>
          <w:sz w:val="24"/>
          <w:szCs w:val="24"/>
        </w:rPr>
        <w:t xml:space="preserve"> </w:t>
      </w:r>
      <w:r w:rsidR="00FC76DE">
        <w:rPr>
          <w:sz w:val="24"/>
          <w:szCs w:val="24"/>
        </w:rPr>
        <w:t>In matters of entry to SIoE TQFE Course t</w:t>
      </w:r>
      <w:r w:rsidR="00F9313F">
        <w:rPr>
          <w:sz w:val="24"/>
          <w:szCs w:val="24"/>
        </w:rPr>
        <w:t xml:space="preserve">he decision of the Course Leader </w:t>
      </w:r>
      <w:r w:rsidR="006A3443">
        <w:rPr>
          <w:sz w:val="24"/>
          <w:szCs w:val="24"/>
        </w:rPr>
        <w:t>will be</w:t>
      </w:r>
      <w:r w:rsidR="00FC76DE">
        <w:rPr>
          <w:sz w:val="24"/>
          <w:szCs w:val="24"/>
        </w:rPr>
        <w:t xml:space="preserve"> final.</w:t>
      </w:r>
    </w:p>
    <w:p w14:paraId="3EABCB7E" w14:textId="77777777" w:rsidR="00A45C08" w:rsidRPr="00A45C08" w:rsidRDefault="00A45C08" w:rsidP="00A45C08">
      <w:pPr>
        <w:rPr>
          <w:b/>
          <w:bCs/>
          <w:sz w:val="24"/>
          <w:szCs w:val="24"/>
        </w:rPr>
      </w:pPr>
      <w:r w:rsidRPr="00A45C08">
        <w:rPr>
          <w:b/>
          <w:bCs/>
          <w:sz w:val="24"/>
          <w:szCs w:val="24"/>
        </w:rPr>
        <w:t>7. Notes and Conditions</w:t>
      </w:r>
    </w:p>
    <w:p w14:paraId="5FAA6EEC" w14:textId="7D367432" w:rsidR="00A45C08" w:rsidRPr="00A45C08" w:rsidRDefault="00A45C08" w:rsidP="00A45C08">
      <w:pPr>
        <w:rPr>
          <w:sz w:val="24"/>
          <w:szCs w:val="24"/>
        </w:rPr>
      </w:pPr>
      <w:r w:rsidRPr="00A45C08">
        <w:rPr>
          <w:sz w:val="24"/>
          <w:szCs w:val="24"/>
        </w:rPr>
        <w:t>If approved, applicant</w:t>
      </w:r>
      <w:r w:rsidR="006A3443">
        <w:rPr>
          <w:sz w:val="24"/>
          <w:szCs w:val="24"/>
        </w:rPr>
        <w:t>s seeki</w:t>
      </w:r>
      <w:r w:rsidR="004A11A2">
        <w:rPr>
          <w:sz w:val="24"/>
          <w:szCs w:val="24"/>
        </w:rPr>
        <w:t>ng RPL entry</w:t>
      </w:r>
      <w:r w:rsidRPr="00A45C08">
        <w:rPr>
          <w:sz w:val="24"/>
          <w:szCs w:val="24"/>
        </w:rPr>
        <w:t xml:space="preserve"> will be admitted to the full TQFE programme on the understanding that any identified areas for development (e.g., academic writing, research methods, or digital learning skills) will be addressed within the early stages of study through agreed support or mentoring.</w:t>
      </w:r>
    </w:p>
    <w:p w14:paraId="74D3D97A" w14:textId="77777777" w:rsidR="00D03030" w:rsidRPr="00A45C08" w:rsidRDefault="00D03030">
      <w:pPr>
        <w:rPr>
          <w:sz w:val="24"/>
          <w:szCs w:val="24"/>
        </w:rPr>
      </w:pPr>
    </w:p>
    <w:sectPr w:rsidR="00D03030" w:rsidRPr="00A45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60567B3"/>
    <w:multiLevelType w:val="multilevel"/>
    <w:tmpl w:val="29D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94B2A"/>
    <w:multiLevelType w:val="multilevel"/>
    <w:tmpl w:val="AF4A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088387">
    <w:abstractNumId w:val="0"/>
  </w:num>
  <w:num w:numId="2" w16cid:durableId="18783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08"/>
    <w:rsid w:val="00027A0B"/>
    <w:rsid w:val="000536AC"/>
    <w:rsid w:val="000F7329"/>
    <w:rsid w:val="00106A64"/>
    <w:rsid w:val="001465B7"/>
    <w:rsid w:val="00162E23"/>
    <w:rsid w:val="00162F2C"/>
    <w:rsid w:val="001D113A"/>
    <w:rsid w:val="001E3EC1"/>
    <w:rsid w:val="00221930"/>
    <w:rsid w:val="0022774B"/>
    <w:rsid w:val="00241F09"/>
    <w:rsid w:val="002A19D9"/>
    <w:rsid w:val="002C4E3F"/>
    <w:rsid w:val="002D7D03"/>
    <w:rsid w:val="003269FD"/>
    <w:rsid w:val="00377E5F"/>
    <w:rsid w:val="003904E8"/>
    <w:rsid w:val="003E264B"/>
    <w:rsid w:val="00480907"/>
    <w:rsid w:val="004A11A2"/>
    <w:rsid w:val="004C246B"/>
    <w:rsid w:val="004C4E3D"/>
    <w:rsid w:val="00513DC2"/>
    <w:rsid w:val="00520200"/>
    <w:rsid w:val="00535A0D"/>
    <w:rsid w:val="00546BB0"/>
    <w:rsid w:val="005C347B"/>
    <w:rsid w:val="005C56BB"/>
    <w:rsid w:val="005F6B88"/>
    <w:rsid w:val="006048FD"/>
    <w:rsid w:val="00673C03"/>
    <w:rsid w:val="006965E2"/>
    <w:rsid w:val="006A3443"/>
    <w:rsid w:val="006B17F1"/>
    <w:rsid w:val="006B3E54"/>
    <w:rsid w:val="006E643D"/>
    <w:rsid w:val="006F277E"/>
    <w:rsid w:val="006F439E"/>
    <w:rsid w:val="0072578B"/>
    <w:rsid w:val="00754E1D"/>
    <w:rsid w:val="0077758B"/>
    <w:rsid w:val="007B7822"/>
    <w:rsid w:val="0080012C"/>
    <w:rsid w:val="008369D9"/>
    <w:rsid w:val="00845089"/>
    <w:rsid w:val="008759F3"/>
    <w:rsid w:val="00891D55"/>
    <w:rsid w:val="00893326"/>
    <w:rsid w:val="008D5632"/>
    <w:rsid w:val="009342DA"/>
    <w:rsid w:val="00937927"/>
    <w:rsid w:val="00941ECE"/>
    <w:rsid w:val="009920FD"/>
    <w:rsid w:val="009D641C"/>
    <w:rsid w:val="00A06867"/>
    <w:rsid w:val="00A45C08"/>
    <w:rsid w:val="00A84BCF"/>
    <w:rsid w:val="00B378A9"/>
    <w:rsid w:val="00B4396C"/>
    <w:rsid w:val="00B45A4C"/>
    <w:rsid w:val="00B62054"/>
    <w:rsid w:val="00BD7D8E"/>
    <w:rsid w:val="00BF47C2"/>
    <w:rsid w:val="00CD5EBB"/>
    <w:rsid w:val="00D03030"/>
    <w:rsid w:val="00D45176"/>
    <w:rsid w:val="00D804B2"/>
    <w:rsid w:val="00DA393A"/>
    <w:rsid w:val="00DB2720"/>
    <w:rsid w:val="00DD2168"/>
    <w:rsid w:val="00DF2AA4"/>
    <w:rsid w:val="00E010A7"/>
    <w:rsid w:val="00E0163C"/>
    <w:rsid w:val="00E96BCA"/>
    <w:rsid w:val="00F25513"/>
    <w:rsid w:val="00F90C16"/>
    <w:rsid w:val="00F9313F"/>
    <w:rsid w:val="00FA2CD0"/>
    <w:rsid w:val="00FB18CC"/>
    <w:rsid w:val="00FC76DE"/>
    <w:rsid w:val="00FD09D7"/>
    <w:rsid w:val="00FD2E0A"/>
    <w:rsid w:val="00FD612F"/>
    <w:rsid w:val="00FF7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A5287F"/>
  <w15:chartTrackingRefBased/>
  <w15:docId w15:val="{191B3BF8-5F50-4129-A2A8-369D9C19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08"/>
    <w:rPr>
      <w:rFonts w:eastAsiaTheme="majorEastAsia" w:cstheme="majorBidi"/>
      <w:color w:val="272727" w:themeColor="text1" w:themeTint="D8"/>
    </w:rPr>
  </w:style>
  <w:style w:type="paragraph" w:styleId="Title">
    <w:name w:val="Title"/>
    <w:basedOn w:val="Normal"/>
    <w:next w:val="Normal"/>
    <w:link w:val="TitleChar"/>
    <w:uiPriority w:val="10"/>
    <w:qFormat/>
    <w:rsid w:val="00A45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08"/>
    <w:pPr>
      <w:spacing w:before="160"/>
      <w:jc w:val="center"/>
    </w:pPr>
    <w:rPr>
      <w:i/>
      <w:iCs/>
      <w:color w:val="404040" w:themeColor="text1" w:themeTint="BF"/>
    </w:rPr>
  </w:style>
  <w:style w:type="character" w:customStyle="1" w:styleId="QuoteChar">
    <w:name w:val="Quote Char"/>
    <w:basedOn w:val="DefaultParagraphFont"/>
    <w:link w:val="Quote"/>
    <w:uiPriority w:val="29"/>
    <w:rsid w:val="00A45C08"/>
    <w:rPr>
      <w:i/>
      <w:iCs/>
      <w:color w:val="404040" w:themeColor="text1" w:themeTint="BF"/>
    </w:rPr>
  </w:style>
  <w:style w:type="paragraph" w:styleId="ListParagraph">
    <w:name w:val="List Paragraph"/>
    <w:basedOn w:val="Normal"/>
    <w:uiPriority w:val="34"/>
    <w:qFormat/>
    <w:rsid w:val="00A45C08"/>
    <w:pPr>
      <w:ind w:left="720"/>
      <w:contextualSpacing/>
    </w:pPr>
  </w:style>
  <w:style w:type="character" w:styleId="IntenseEmphasis">
    <w:name w:val="Intense Emphasis"/>
    <w:basedOn w:val="DefaultParagraphFont"/>
    <w:uiPriority w:val="21"/>
    <w:qFormat/>
    <w:rsid w:val="00A45C08"/>
    <w:rPr>
      <w:i/>
      <w:iCs/>
      <w:color w:val="0F4761" w:themeColor="accent1" w:themeShade="BF"/>
    </w:rPr>
  </w:style>
  <w:style w:type="paragraph" w:styleId="IntenseQuote">
    <w:name w:val="Intense Quote"/>
    <w:basedOn w:val="Normal"/>
    <w:next w:val="Normal"/>
    <w:link w:val="IntenseQuoteChar"/>
    <w:uiPriority w:val="30"/>
    <w:qFormat/>
    <w:rsid w:val="00A45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08"/>
    <w:rPr>
      <w:i/>
      <w:iCs/>
      <w:color w:val="0F4761" w:themeColor="accent1" w:themeShade="BF"/>
    </w:rPr>
  </w:style>
  <w:style w:type="character" w:styleId="IntenseReference">
    <w:name w:val="Intense Reference"/>
    <w:basedOn w:val="DefaultParagraphFont"/>
    <w:uiPriority w:val="32"/>
    <w:qFormat/>
    <w:rsid w:val="00A45C08"/>
    <w:rPr>
      <w:b/>
      <w:bCs/>
      <w:smallCaps/>
      <w:color w:val="0F4761" w:themeColor="accent1" w:themeShade="BF"/>
      <w:spacing w:val="5"/>
    </w:rPr>
  </w:style>
  <w:style w:type="character" w:styleId="Hyperlink">
    <w:name w:val="Hyperlink"/>
    <w:basedOn w:val="DefaultParagraphFont"/>
    <w:uiPriority w:val="99"/>
    <w:unhideWhenUsed/>
    <w:rsid w:val="005F6B88"/>
    <w:rPr>
      <w:color w:val="467886" w:themeColor="hyperlink"/>
      <w:u w:val="single"/>
    </w:rPr>
  </w:style>
  <w:style w:type="character" w:styleId="UnresolvedMention">
    <w:name w:val="Unresolved Mention"/>
    <w:basedOn w:val="DefaultParagraphFont"/>
    <w:uiPriority w:val="99"/>
    <w:semiHidden/>
    <w:unhideWhenUsed/>
    <w:rsid w:val="005F6B88"/>
    <w:rPr>
      <w:color w:val="605E5C"/>
      <w:shd w:val="clear" w:color="auto" w:fill="E1DFDD"/>
    </w:rPr>
  </w:style>
  <w:style w:type="character" w:styleId="FollowedHyperlink">
    <w:name w:val="FollowedHyperlink"/>
    <w:basedOn w:val="DefaultParagraphFont"/>
    <w:uiPriority w:val="99"/>
    <w:semiHidden/>
    <w:unhideWhenUsed/>
    <w:rsid w:val="005F6B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7319">
      <w:bodyDiv w:val="1"/>
      <w:marLeft w:val="0"/>
      <w:marRight w:val="0"/>
      <w:marTop w:val="0"/>
      <w:marBottom w:val="0"/>
      <w:divBdr>
        <w:top w:val="none" w:sz="0" w:space="0" w:color="auto"/>
        <w:left w:val="none" w:sz="0" w:space="0" w:color="auto"/>
        <w:bottom w:val="none" w:sz="0" w:space="0" w:color="auto"/>
        <w:right w:val="none" w:sz="0" w:space="0" w:color="auto"/>
      </w:divBdr>
    </w:div>
    <w:div w:id="957295767">
      <w:bodyDiv w:val="1"/>
      <w:marLeft w:val="0"/>
      <w:marRight w:val="0"/>
      <w:marTop w:val="0"/>
      <w:marBottom w:val="0"/>
      <w:divBdr>
        <w:top w:val="none" w:sz="0" w:space="0" w:color="auto"/>
        <w:left w:val="none" w:sz="0" w:space="0" w:color="auto"/>
        <w:bottom w:val="none" w:sz="0" w:space="0" w:color="auto"/>
        <w:right w:val="none" w:sz="0" w:space="0" w:color="auto"/>
      </w:divBdr>
    </w:div>
    <w:div w:id="2041474043">
      <w:bodyDiv w:val="1"/>
      <w:marLeft w:val="0"/>
      <w:marRight w:val="0"/>
      <w:marTop w:val="0"/>
      <w:marBottom w:val="0"/>
      <w:divBdr>
        <w:top w:val="none" w:sz="0" w:space="0" w:color="auto"/>
        <w:left w:val="none" w:sz="0" w:space="0" w:color="auto"/>
        <w:bottom w:val="none" w:sz="0" w:space="0" w:color="auto"/>
        <w:right w:val="none" w:sz="0" w:space="0" w:color="auto"/>
      </w:divBdr>
      <w:divsChild>
        <w:div w:id="2025739062">
          <w:marLeft w:val="0"/>
          <w:marRight w:val="0"/>
          <w:marTop w:val="0"/>
          <w:marBottom w:val="0"/>
          <w:divBdr>
            <w:top w:val="none" w:sz="0" w:space="0" w:color="auto"/>
            <w:left w:val="none" w:sz="0" w:space="0" w:color="auto"/>
            <w:bottom w:val="none" w:sz="0" w:space="0" w:color="auto"/>
            <w:right w:val="none" w:sz="0" w:space="0" w:color="auto"/>
          </w:divBdr>
          <w:divsChild>
            <w:div w:id="519975025">
              <w:marLeft w:val="0"/>
              <w:marRight w:val="0"/>
              <w:marTop w:val="0"/>
              <w:marBottom w:val="0"/>
              <w:divBdr>
                <w:top w:val="none" w:sz="0" w:space="0" w:color="auto"/>
                <w:left w:val="none" w:sz="0" w:space="0" w:color="auto"/>
                <w:bottom w:val="none" w:sz="0" w:space="0" w:color="auto"/>
                <w:right w:val="none" w:sz="0" w:space="0" w:color="auto"/>
              </w:divBdr>
            </w:div>
          </w:divsChild>
        </w:div>
        <w:div w:id="81804365">
          <w:marLeft w:val="0"/>
          <w:marRight w:val="0"/>
          <w:marTop w:val="0"/>
          <w:marBottom w:val="0"/>
          <w:divBdr>
            <w:top w:val="none" w:sz="0" w:space="0" w:color="auto"/>
            <w:left w:val="none" w:sz="0" w:space="0" w:color="auto"/>
            <w:bottom w:val="none" w:sz="0" w:space="0" w:color="auto"/>
            <w:right w:val="none" w:sz="0" w:space="0" w:color="auto"/>
          </w:divBdr>
          <w:divsChild>
            <w:div w:id="3506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rath.ac.uk/media/ps/cs/gmap/academicaffairs/policies/Policy_on_the_Recognition_of_Prior_Learning_and_Credit_Transf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Glasgow College</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Miller</dc:creator>
  <cp:keywords/>
  <dc:description/>
  <cp:lastModifiedBy>Robert Collins</cp:lastModifiedBy>
  <cp:revision>3</cp:revision>
  <cp:lastPrinted>2025-11-17T12:10:00Z</cp:lastPrinted>
  <dcterms:created xsi:type="dcterms:W3CDTF">2025-11-19T14:41:00Z</dcterms:created>
  <dcterms:modified xsi:type="dcterms:W3CDTF">2025-12-01T11:18:00Z</dcterms:modified>
</cp:coreProperties>
</file>