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0070" w14:textId="1A6D3BDF" w:rsidR="00B85E08" w:rsidRPr="00957A58" w:rsidRDefault="00DF4AFA" w:rsidP="00957A5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957A58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96C4E31" wp14:editId="08D6259A">
            <wp:simplePos x="0" y="0"/>
            <wp:positionH relativeFrom="margin">
              <wp:posOffset>4994275</wp:posOffset>
            </wp:positionH>
            <wp:positionV relativeFrom="page">
              <wp:posOffset>0</wp:posOffset>
            </wp:positionV>
            <wp:extent cx="935990" cy="1043940"/>
            <wp:effectExtent l="0" t="0" r="0" b="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08" w:rsidRPr="00957A58">
        <w:rPr>
          <w:rFonts w:ascii="Arial" w:hAnsi="Arial" w:cs="Arial"/>
          <w:b/>
          <w:bCs/>
          <w:sz w:val="36"/>
          <w:szCs w:val="36"/>
        </w:rPr>
        <w:t xml:space="preserve">University Occupational Health and Safety </w:t>
      </w:r>
    </w:p>
    <w:p w14:paraId="75BF7963" w14:textId="77777777" w:rsidR="00B85E08" w:rsidRPr="00A92036" w:rsidRDefault="00B85E08" w:rsidP="00B85E08">
      <w:pPr>
        <w:pStyle w:val="Title"/>
        <w:jc w:val="left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Form</w:t>
      </w:r>
    </w:p>
    <w:p w14:paraId="4DA0CDB7" w14:textId="77777777" w:rsidR="003F7704" w:rsidRPr="00AA0D47" w:rsidRDefault="003F7704" w:rsidP="003F770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D00BDF9" w14:textId="77777777" w:rsidR="003F7704" w:rsidRPr="00B85E08" w:rsidRDefault="003F7704" w:rsidP="00B85E08">
      <w:pPr>
        <w:pStyle w:val="BodyText2"/>
        <w:rPr>
          <w:rFonts w:ascii="Arial" w:hAnsi="Arial" w:cs="Arial"/>
          <w:sz w:val="36"/>
          <w:szCs w:val="36"/>
        </w:rPr>
      </w:pPr>
      <w:r w:rsidRPr="00B85E08">
        <w:rPr>
          <w:rFonts w:ascii="Arial" w:hAnsi="Arial" w:cs="Arial"/>
          <w:sz w:val="36"/>
          <w:szCs w:val="36"/>
        </w:rPr>
        <w:t>RISK ASSESSMENT FOR GENETICALLY MODIFIED MICROORGANISMS</w:t>
      </w:r>
      <w:r w:rsidR="00B85E08" w:rsidRPr="00B85E08">
        <w:rPr>
          <w:rFonts w:ascii="Arial" w:hAnsi="Arial" w:cs="Arial"/>
          <w:sz w:val="36"/>
          <w:szCs w:val="36"/>
        </w:rPr>
        <w:t xml:space="preserve"> – Part 2</w:t>
      </w:r>
    </w:p>
    <w:p w14:paraId="1084C0CB" w14:textId="77777777" w:rsidR="003F7704" w:rsidRPr="00AA0D47" w:rsidRDefault="003F7704" w:rsidP="003F770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E4DC39" w14:textId="77777777" w:rsidR="00B85E0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This form is a continuation of Part 1 and</w:t>
      </w:r>
      <w:r w:rsidR="003F7704" w:rsidRPr="00B85E08">
        <w:rPr>
          <w:rFonts w:ascii="Arial" w:hAnsi="Arial" w:cs="Arial"/>
          <w:iCs/>
          <w:sz w:val="20"/>
          <w:szCs w:val="20"/>
          <w:lang w:val="en-US"/>
        </w:rPr>
        <w:t xml:space="preserve"> is designed for the detailed assessment of a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GMM </w:t>
      </w:r>
      <w:r w:rsidR="00081D48">
        <w:rPr>
          <w:rFonts w:ascii="Arial" w:hAnsi="Arial" w:cs="Arial"/>
          <w:iCs/>
          <w:sz w:val="20"/>
          <w:szCs w:val="20"/>
          <w:lang w:val="en-US"/>
        </w:rPr>
        <w:t>project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where there is doubt regarding the classification or where Class 2 is</w:t>
      </w:r>
      <w:r w:rsidR="00081D48">
        <w:rPr>
          <w:rFonts w:ascii="Arial" w:hAnsi="Arial" w:cs="Arial"/>
          <w:iCs/>
          <w:sz w:val="20"/>
          <w:szCs w:val="20"/>
          <w:lang w:val="en-US"/>
        </w:rPr>
        <w:t xml:space="preserve"> being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considered</w:t>
      </w:r>
      <w:r w:rsidR="003F7704" w:rsidRPr="00B85E08">
        <w:rPr>
          <w:rFonts w:ascii="Arial" w:hAnsi="Arial" w:cs="Arial"/>
          <w:iCs/>
          <w:sz w:val="20"/>
          <w:szCs w:val="20"/>
          <w:lang w:val="en-US"/>
        </w:rPr>
        <w:t>. In general, as long as the scope of the work has been satisfactorily outlined in Part 1, it is sufficient to complete Part 2 for the most hazardous GMM</w:t>
      </w:r>
      <w:r w:rsidR="00B85E08">
        <w:rPr>
          <w:rFonts w:ascii="Arial" w:hAnsi="Arial" w:cs="Arial"/>
          <w:iCs/>
          <w:sz w:val="20"/>
          <w:szCs w:val="20"/>
          <w:lang w:val="en-US"/>
        </w:rPr>
        <w:t>s</w:t>
      </w:r>
      <w:r w:rsidR="003F7704" w:rsidRPr="00B85E08">
        <w:rPr>
          <w:rFonts w:ascii="Arial" w:hAnsi="Arial" w:cs="Arial"/>
          <w:iCs/>
          <w:sz w:val="20"/>
          <w:szCs w:val="20"/>
          <w:lang w:val="en-US"/>
        </w:rPr>
        <w:t xml:space="preserve"> being constructed</w:t>
      </w:r>
      <w:r w:rsidR="00B85E08">
        <w:rPr>
          <w:rFonts w:ascii="Arial" w:hAnsi="Arial" w:cs="Arial"/>
          <w:iCs/>
          <w:sz w:val="20"/>
          <w:szCs w:val="20"/>
          <w:lang w:val="en-US"/>
        </w:rPr>
        <w:t xml:space="preserve"> (i.e. those proposed as Class 2 activities)</w:t>
      </w:r>
      <w:r w:rsidR="003F7704" w:rsidRPr="00B85E08">
        <w:rPr>
          <w:rFonts w:ascii="Arial" w:hAnsi="Arial" w:cs="Arial"/>
          <w:iCs/>
          <w:sz w:val="20"/>
          <w:szCs w:val="20"/>
          <w:lang w:val="en-US"/>
        </w:rPr>
        <w:t xml:space="preserve">.  </w:t>
      </w:r>
    </w:p>
    <w:p w14:paraId="19E1648E" w14:textId="77777777" w:rsidR="00B85E08" w:rsidRPr="00B85E08" w:rsidRDefault="00B85E08" w:rsidP="00B85E08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85E08" w:rsidRPr="00B85E08" w14:paraId="5818979A" w14:textId="77777777" w:rsidTr="00866788">
        <w:tc>
          <w:tcPr>
            <w:tcW w:w="9468" w:type="dxa"/>
            <w:shd w:val="clear" w:color="auto" w:fill="B4C6E7"/>
          </w:tcPr>
          <w:p w14:paraId="76DB5A00" w14:textId="77777777" w:rsidR="00B85E08" w:rsidRPr="00B85E08" w:rsidRDefault="00B85E08" w:rsidP="00957A58">
            <w:p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E7367">
              <w:rPr>
                <w:rFonts w:ascii="Arial" w:hAnsi="Arial" w:cs="Arial"/>
                <w:b/>
              </w:rPr>
              <w:t>Part 2 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to human health</w:t>
            </w:r>
          </w:p>
        </w:tc>
      </w:tr>
      <w:tr w:rsidR="00B85E08" w:rsidRPr="00B85E08" w14:paraId="58B6821B" w14:textId="77777777" w:rsidTr="00866788">
        <w:tc>
          <w:tcPr>
            <w:tcW w:w="9468" w:type="dxa"/>
            <w:shd w:val="clear" w:color="auto" w:fill="auto"/>
          </w:tcPr>
          <w:p w14:paraId="427CD479" w14:textId="77777777" w:rsidR="00B85E08" w:rsidRPr="000051A7" w:rsidRDefault="00B85E0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t>(</w:t>
            </w:r>
            <w:proofErr w:type="spellStart"/>
            <w:r w:rsidRPr="00AA0D47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A0D47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associated with the recipient microorganism (e.g. bacterial host or viral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vector)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Is the recipient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listed in </w:t>
            </w:r>
            <w:hyperlink r:id="rId8" w:history="1">
              <w:r w:rsidRPr="001D1F36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US"/>
                </w:rPr>
                <w:t>ACDP hazard groups 2, 3 or 4</w:t>
              </w:r>
            </w:hyperlink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Consider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micro-organism’s mode of transmission, disease symptoms, host range, and tissue tropism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 Are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vaccines or chemotherapeutic agents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available?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information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on any disabling mutations and whether there is any possibility of any disabling mutations being complemented or reverting.</w:t>
            </w:r>
          </w:p>
          <w:p w14:paraId="49F00484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A1EA3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0F29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0575B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4387E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80C20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5CCA4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87F13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FF165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C5BF9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146B5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27347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D6FCB" w14:textId="77777777" w:rsidR="006C1760" w:rsidRPr="00B85E08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E08" w:rsidRPr="00B85E08" w14:paraId="71645AD8" w14:textId="77777777" w:rsidTr="00866788">
        <w:tc>
          <w:tcPr>
            <w:tcW w:w="9468" w:type="dxa"/>
            <w:shd w:val="clear" w:color="auto" w:fill="auto"/>
          </w:tcPr>
          <w:p w14:paraId="6CAA2AF6" w14:textId="77777777" w:rsidR="00B85E08" w:rsidRPr="000051A7" w:rsidRDefault="00B85E0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t xml:space="preserve">(ii)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arising directly from the inserted gene product (e.g. cloning of a toxin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gene or oncogene)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Consider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whether the inserted DNA encodes a toxin, an oncogenic protein, an allergen, a modulator of growth or differentiation (hormone or cytokine) or any other protein, which may result in potentially harmful biological activity. Where the function of the inserted gene is </w:t>
            </w:r>
            <w:r w:rsidR="006C1760"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unknown, describe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function of any known homologues.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Note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that even a normal human gene may be harmful if over-expressed, especially if the over-expression is in tissues that do not normally express the protein.</w:t>
            </w:r>
          </w:p>
          <w:p w14:paraId="573F0172" w14:textId="77777777" w:rsidR="00B85E08" w:rsidRPr="009B5D7E" w:rsidRDefault="00B85E08" w:rsidP="00B85E08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72769C7" w14:textId="77777777" w:rsidR="00B85E08" w:rsidRPr="00B85E08" w:rsidRDefault="00B85E08" w:rsidP="00B85E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11B855" w14:textId="77777777" w:rsidR="00B85E08" w:rsidRPr="00B85E08" w:rsidRDefault="00B85E0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D961D4" w14:textId="77777777" w:rsidR="00B85E08" w:rsidRPr="00B85E08" w:rsidRDefault="00B85E0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AF0C2" w14:textId="77777777" w:rsidR="00B85E08" w:rsidRDefault="00B85E0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432E4C" w14:textId="77777777" w:rsidR="000051A7" w:rsidRDefault="000051A7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54020F" w14:textId="77777777" w:rsidR="000051A7" w:rsidRPr="00B85E08" w:rsidRDefault="000051A7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DFDB3C" w14:textId="77777777" w:rsidR="00B85E08" w:rsidRPr="00B85E08" w:rsidRDefault="00B85E0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46EA41D9" w14:textId="77777777" w:rsidR="00B85E08" w:rsidRDefault="00B85E0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23ECEC63" w14:textId="77777777" w:rsidR="00957A58" w:rsidRDefault="00957A5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5335618A" w14:textId="77777777" w:rsidR="00957A58" w:rsidRPr="00B85E08" w:rsidRDefault="00957A5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41EBC13A" w14:textId="77777777" w:rsidR="00B85E08" w:rsidRPr="00B85E08" w:rsidRDefault="00B85E0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0C609C99" w14:textId="77777777" w:rsidR="00B85E08" w:rsidRPr="00B85E08" w:rsidRDefault="00B85E08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E08" w:rsidRPr="00B85E08" w14:paraId="03D78CE9" w14:textId="77777777" w:rsidTr="00866788">
        <w:tc>
          <w:tcPr>
            <w:tcW w:w="9468" w:type="dxa"/>
            <w:shd w:val="clear" w:color="auto" w:fill="auto"/>
          </w:tcPr>
          <w:p w14:paraId="31FDF254" w14:textId="77777777" w:rsidR="00B85E08" w:rsidRPr="000051A7" w:rsidRDefault="00B85E0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(iii)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arising from the alteration of existing traits (e.g. alteration of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pathogenicity, host range, tissue tropism, mode of transmission or host immune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response)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onsider whether the inserted gene encodes a pathogenicity determinant, such as an adhesin, a penetration factor or a surface component providing resistance to host defen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mechanisms.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Consider w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hether the inserted gene encodes a surface component, envelope protein or capsid protein that might bind to a different receptor to that used by the recipient microorganism. 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Consider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whether the inserted DNA (or the plasmid sequence) encodes resistance to a drug or antibiotic that might be used for the treatment of a laboratory-acquired infection.</w:t>
            </w:r>
          </w:p>
          <w:p w14:paraId="76463CAE" w14:textId="77777777" w:rsidR="00B85E08" w:rsidRPr="00B85E08" w:rsidRDefault="00B85E08" w:rsidP="00B85E08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92D9F1" w14:textId="77777777" w:rsidR="00B85E08" w:rsidRDefault="00B85E0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3FBFE0C5" w14:textId="77777777" w:rsidR="00957A58" w:rsidRDefault="00957A5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3F1EC6E6" w14:textId="77777777" w:rsidR="00957A58" w:rsidRPr="00B85E08" w:rsidRDefault="00957A5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1AC13D86" w14:textId="77777777" w:rsidR="00B85E08" w:rsidRPr="00B85E08" w:rsidRDefault="00B85E0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0261FA9A" w14:textId="77777777" w:rsidR="00B85E08" w:rsidRPr="00B85E08" w:rsidRDefault="00B85E08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E08" w:rsidRPr="00B85E08" w14:paraId="29355C8A" w14:textId="77777777" w:rsidTr="00866788">
        <w:tc>
          <w:tcPr>
            <w:tcW w:w="9468" w:type="dxa"/>
            <w:shd w:val="clear" w:color="auto" w:fill="auto"/>
          </w:tcPr>
          <w:p w14:paraId="7F458B81" w14:textId="77777777" w:rsidR="00B85E08" w:rsidRPr="000051A7" w:rsidRDefault="00B85E0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(iv)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The potential hazards of sequences within the GMM being transferred to related microorganisms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onsider whether widespread dissemination of the inserted gene as a result, for example, of either gene transfer or recombination of the GMM with a wild-type microorganism, would be a matter of concern. If </w:t>
            </w:r>
            <w:r w:rsidR="006C1760">
              <w:rPr>
                <w:rFonts w:ascii="Arial" w:hAnsi="Arial" w:cs="Arial"/>
                <w:i/>
                <w:sz w:val="20"/>
                <w:szCs w:val="20"/>
                <w:lang w:val="en-US"/>
              </w:rPr>
              <w:t>so,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consider whether, in the event of a breach of containment the GMM could survive in the environment for long enough for such a gene transfer to take place.</w:t>
            </w:r>
          </w:p>
          <w:p w14:paraId="2A05C1ED" w14:textId="77777777" w:rsidR="00B85E08" w:rsidRPr="00B85E08" w:rsidRDefault="00B85E08" w:rsidP="00B85E0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ED6535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50805D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594F05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39477C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7843A0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C73A53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155CE3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996F65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534424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69F9BC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9E876D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BE2A2E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64E86C" w14:textId="77777777" w:rsidR="00B85E08" w:rsidRP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2BE3C9" w14:textId="77777777" w:rsidR="00B85E08" w:rsidRDefault="00B85E0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51CE8510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7AD39824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22809B69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3AD6C836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5CCB9AE1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0A018CB9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788046A8" w14:textId="77777777" w:rsidR="00957A58" w:rsidRDefault="00957A58" w:rsidP="00B85E0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85E08" w:rsidRPr="000D03DB" w14:paraId="2C5AA64E" w14:textId="77777777" w:rsidTr="00866788">
        <w:tc>
          <w:tcPr>
            <w:tcW w:w="9468" w:type="dxa"/>
            <w:shd w:val="clear" w:color="auto" w:fill="B4C6E7"/>
          </w:tcPr>
          <w:p w14:paraId="6C2396BC" w14:textId="77777777" w:rsidR="00B85E08" w:rsidRPr="00B85E08" w:rsidRDefault="00B85E08" w:rsidP="00B85E0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0D03DB">
              <w:rPr>
                <w:rFonts w:ascii="Arial" w:hAnsi="Arial" w:cs="Arial"/>
                <w:b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0D03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(b)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Assignment of a provisional containment level that is adequate to</w:t>
            </w:r>
            <w:r w:rsidR="00957A5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protect against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to human health</w:t>
            </w:r>
          </w:p>
        </w:tc>
      </w:tr>
      <w:tr w:rsidR="00B85E08" w:rsidRPr="000D03DB" w14:paraId="75A93B09" w14:textId="77777777" w:rsidTr="00866788">
        <w:tc>
          <w:tcPr>
            <w:tcW w:w="9468" w:type="dxa"/>
            <w:shd w:val="clear" w:color="auto" w:fill="auto"/>
          </w:tcPr>
          <w:p w14:paraId="2CAAC97E" w14:textId="77777777" w:rsidR="00B85E08" w:rsidRPr="009B5D7E" w:rsidRDefault="006C1760" w:rsidP="00957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Consider</w:t>
            </w:r>
            <w:r w:rsidR="00B85E08"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containment level necessary to control the risk of the recipient microorganism (i.e. </w:t>
            </w:r>
            <w:hyperlink r:id="rId9" w:history="1">
              <w:r w:rsidR="00B85E08" w:rsidRPr="001D1F36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US"/>
                </w:rPr>
                <w:t>the ACDP Hazard Group</w:t>
              </w:r>
            </w:hyperlink>
            <w:r w:rsidR="00B85E08"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the recipient microorganism) and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</w:t>
            </w:r>
            <w:r w:rsidR="00B85E08"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modification will result in a GMM, which is more hazardous, less hazardous, or about the same.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Compare</w:t>
            </w:r>
            <w:r w:rsidR="00B85E08"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GMM with the relative hazard presented by other organisms that would fall within the same ACDP Hazard Group as the GMM.</w:t>
            </w:r>
          </w:p>
          <w:p w14:paraId="2F00A15E" w14:textId="77777777" w:rsidR="00B85E08" w:rsidRPr="000D03DB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B6EA3" w14:textId="77777777" w:rsidR="00B85E08" w:rsidRPr="000D03DB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034BC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4021E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1E914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7763D" w14:textId="77777777" w:rsidR="00B85E08" w:rsidRPr="000D03DB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FD10E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4108E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BE4D6" w14:textId="77777777" w:rsidR="00957A58" w:rsidRPr="000D03DB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6CA00" w14:textId="77777777" w:rsidR="00B85E08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016FA" w14:textId="77777777" w:rsidR="0044249F" w:rsidRDefault="0044249F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E3868" w14:textId="77777777" w:rsidR="0044249F" w:rsidRDefault="0044249F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6C17A" w14:textId="77777777" w:rsidR="00B85E08" w:rsidRPr="000D03DB" w:rsidRDefault="00B85E0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4AC0AD" w14:textId="77777777" w:rsidR="006C1760" w:rsidRDefault="006C1760" w:rsidP="003F770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7A58" w:rsidRPr="006C1760" w14:paraId="213C2432" w14:textId="77777777" w:rsidTr="00866788">
        <w:tc>
          <w:tcPr>
            <w:tcW w:w="9468" w:type="dxa"/>
            <w:shd w:val="clear" w:color="auto" w:fill="B4C6E7"/>
          </w:tcPr>
          <w:p w14:paraId="66CEA927" w14:textId="77777777" w:rsidR="00957A58" w:rsidRPr="006C1760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85E08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(c) Identification of any hazards to the environment</w:t>
            </w:r>
          </w:p>
        </w:tc>
      </w:tr>
      <w:tr w:rsidR="00957A58" w:rsidRPr="00B85E08" w14:paraId="77B3C596" w14:textId="77777777" w:rsidTr="00866788">
        <w:tc>
          <w:tcPr>
            <w:tcW w:w="9468" w:type="dxa"/>
            <w:shd w:val="clear" w:color="auto" w:fill="auto"/>
          </w:tcPr>
          <w:p w14:paraId="1B4562A4" w14:textId="77777777" w:rsidR="00957A58" w:rsidRPr="000051A7" w:rsidRDefault="00957A58" w:rsidP="000051A7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t>(</w:t>
            </w:r>
            <w:proofErr w:type="spellStart"/>
            <w:r w:rsidRPr="00AA0D47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A0D47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associated with the recipient microorganism (e.g. bacterial host or viral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vector)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Consider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whether the recipient microorganism is capable of infecting any plants, animals or insects in the environment and whether there is any possibility of any disabling mutations being complemented or reverting.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t should be ascertained whether the recipient microorganism is a pathogen that is controlled by DEFRA.</w:t>
            </w:r>
          </w:p>
          <w:p w14:paraId="4FE5E433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06254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8F647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CB964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102A0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E910A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EE91B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15452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CD1BE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7148E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C5DB5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A58" w:rsidRPr="00B85E08" w14:paraId="3F85A770" w14:textId="77777777" w:rsidTr="00866788">
        <w:tc>
          <w:tcPr>
            <w:tcW w:w="9468" w:type="dxa"/>
            <w:shd w:val="clear" w:color="auto" w:fill="auto"/>
          </w:tcPr>
          <w:p w14:paraId="46B00DB8" w14:textId="77777777" w:rsidR="00957A58" w:rsidRPr="000051A7" w:rsidRDefault="00957A5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t xml:space="preserve">(ii)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arising directly from the inserted gene product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onsider whether the sequence encodes an insect or animal toxin or a product which can cause silencing of a gene encoding a crucial metabolic enzyme in susceptible hosts.</w:t>
            </w:r>
          </w:p>
          <w:p w14:paraId="6B0B19FE" w14:textId="77777777" w:rsidR="00957A58" w:rsidRPr="009B5D7E" w:rsidRDefault="00957A58" w:rsidP="00866788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3F1106C" w14:textId="77777777" w:rsidR="00957A58" w:rsidRPr="00B85E08" w:rsidRDefault="00957A5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0FCF7B" w14:textId="77777777" w:rsidR="00957A58" w:rsidRPr="00B85E08" w:rsidRDefault="00957A5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979020" w14:textId="77777777" w:rsidR="00957A58" w:rsidRPr="00B85E08" w:rsidRDefault="00957A5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8111F0" w14:textId="77777777" w:rsidR="00957A58" w:rsidRPr="00B85E08" w:rsidRDefault="00957A58" w:rsidP="00866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99F6C3" w14:textId="77777777" w:rsidR="00957A58" w:rsidRPr="00B85E08" w:rsidRDefault="00957A5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1F9C50C3" w14:textId="77777777" w:rsidR="00957A58" w:rsidRPr="00B85E08" w:rsidRDefault="00957A58" w:rsidP="00866788">
            <w:pPr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4AD30BFA" w14:textId="77777777" w:rsidR="00957A58" w:rsidRDefault="00957A58" w:rsidP="00866788">
            <w:pPr>
              <w:tabs>
                <w:tab w:val="left" w:pos="1970"/>
              </w:tabs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7F4612" w14:textId="77777777" w:rsidR="00957A58" w:rsidRDefault="00957A58" w:rsidP="00866788">
            <w:pPr>
              <w:tabs>
                <w:tab w:val="left" w:pos="1970"/>
              </w:tabs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36AFE89F" w14:textId="77777777" w:rsidR="00957A58" w:rsidRDefault="00957A58" w:rsidP="00866788">
            <w:pPr>
              <w:tabs>
                <w:tab w:val="left" w:pos="1970"/>
              </w:tabs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157BEB90" w14:textId="77777777" w:rsidR="00957A58" w:rsidRDefault="00957A58" w:rsidP="00866788">
            <w:pPr>
              <w:tabs>
                <w:tab w:val="left" w:pos="1970"/>
              </w:tabs>
              <w:autoSpaceDE w:val="0"/>
              <w:autoSpaceDN w:val="0"/>
              <w:adjustRightInd w:val="0"/>
              <w:ind w:left="1260" w:hanging="540"/>
              <w:rPr>
                <w:rFonts w:ascii="Arial" w:hAnsi="Arial" w:cs="Arial"/>
                <w:sz w:val="20"/>
                <w:szCs w:val="20"/>
              </w:rPr>
            </w:pPr>
          </w:p>
          <w:p w14:paraId="4E08B7F2" w14:textId="77777777" w:rsidR="00957A58" w:rsidRPr="00B85E08" w:rsidRDefault="00957A58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57A58" w:rsidRPr="00B85E08" w14:paraId="539659AA" w14:textId="77777777" w:rsidTr="00866788">
        <w:tc>
          <w:tcPr>
            <w:tcW w:w="9468" w:type="dxa"/>
            <w:shd w:val="clear" w:color="auto" w:fill="auto"/>
          </w:tcPr>
          <w:p w14:paraId="05755C71" w14:textId="77777777" w:rsidR="00957A58" w:rsidRPr="000051A7" w:rsidRDefault="00957A5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(iii)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Hazards arising from the alteration of existing traits (e.g. alteration of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pathogenicity, host range or tissue tropism)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Co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nsider whether the inserted sequence encodes a pathogenicity determinant, such as an adhesin, a penetration factor or a surface component providing resistance to host defense mechanisms. 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Co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nsider whether the inserted gene encodes a surface component, envelope protein or capsid protein that might bind to a different receptor to that used by the recipient microorganism.</w:t>
            </w:r>
          </w:p>
          <w:p w14:paraId="02680BFC" w14:textId="77777777" w:rsidR="00957A58" w:rsidRDefault="00957A5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6CA0671C" w14:textId="77777777" w:rsidR="00957A58" w:rsidRPr="00B85E08" w:rsidRDefault="00957A5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60A08F97" w14:textId="77777777" w:rsidR="00957A58" w:rsidRPr="00B85E08" w:rsidRDefault="00957A58" w:rsidP="00866788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0AB16C59" w14:textId="77777777" w:rsidR="00957A58" w:rsidRPr="00B85E08" w:rsidRDefault="00957A58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57A58" w:rsidRPr="00B85E08" w14:paraId="4E7247C6" w14:textId="77777777" w:rsidTr="00866788">
        <w:tc>
          <w:tcPr>
            <w:tcW w:w="9468" w:type="dxa"/>
            <w:shd w:val="clear" w:color="auto" w:fill="auto"/>
          </w:tcPr>
          <w:p w14:paraId="49FAA599" w14:textId="77777777" w:rsidR="00957A58" w:rsidRPr="000051A7" w:rsidRDefault="00957A58" w:rsidP="000051A7">
            <w:pPr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A0D47">
              <w:rPr>
                <w:rFonts w:ascii="Arial" w:hAnsi="Arial" w:cs="Arial"/>
                <w:b/>
                <w:bCs/>
                <w:lang w:val="en-US"/>
              </w:rPr>
              <w:t xml:space="preserve">(iv) </w:t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  <w:t xml:space="preserve">The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potential hazards of sequences within the GMM being transferred to related microorganisms</w:t>
            </w:r>
            <w:r w:rsidR="000051A7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onsider whether widespread dissemination of the inserted gene as a result, for example, of either gene transfer or recombination of the GMM with a wild-type microorganism, would be a matter of concern. If </w:t>
            </w:r>
            <w:r w:rsidR="000051A7">
              <w:rPr>
                <w:rFonts w:ascii="Arial" w:hAnsi="Arial" w:cs="Arial"/>
                <w:i/>
                <w:sz w:val="20"/>
                <w:szCs w:val="20"/>
                <w:lang w:val="en-US"/>
              </w:rPr>
              <w:t>so,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consider whether, in the event of a breach of containment the GMM could survive in the environment for long enough for such a gene transfer to take place.</w:t>
            </w:r>
          </w:p>
          <w:p w14:paraId="2FAFCC6E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425661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F8867A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4BDBDA" w14:textId="77777777" w:rsidR="00957A5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3DF265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88C902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943408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9CFCBC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88C5E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4DC457" w14:textId="77777777" w:rsidR="00957A58" w:rsidRPr="00B85E08" w:rsidRDefault="00957A58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384EAD" w14:textId="77777777" w:rsidR="00957A58" w:rsidRPr="00AA0D47" w:rsidRDefault="00957A58" w:rsidP="003F770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C1760" w:rsidRPr="000D03DB" w14:paraId="1D66F1C6" w14:textId="77777777" w:rsidTr="00866788">
        <w:tc>
          <w:tcPr>
            <w:tcW w:w="9468" w:type="dxa"/>
            <w:shd w:val="clear" w:color="auto" w:fill="B4C6E7"/>
          </w:tcPr>
          <w:p w14:paraId="382EEADC" w14:textId="77777777" w:rsidR="006C1760" w:rsidRPr="00AA0D47" w:rsidRDefault="006C1760" w:rsidP="006C176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0D03DB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0D03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(d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) Consideration of whether there is a need to assign additional measures over and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above the provisional level of containment.</w:t>
            </w:r>
          </w:p>
          <w:p w14:paraId="7AF4D39C" w14:textId="77777777" w:rsidR="006C1760" w:rsidRPr="00B85E08" w:rsidRDefault="006C1760" w:rsidP="00866788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1760" w:rsidRPr="000D03DB" w14:paraId="555E05A5" w14:textId="77777777" w:rsidTr="00866788">
        <w:tc>
          <w:tcPr>
            <w:tcW w:w="9468" w:type="dxa"/>
            <w:shd w:val="clear" w:color="auto" w:fill="auto"/>
          </w:tcPr>
          <w:p w14:paraId="1155F433" w14:textId="77777777" w:rsidR="006C1760" w:rsidRPr="009B5D7E" w:rsidRDefault="006C1760" w:rsidP="006C1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It should be noted that the containment measures set out in Schedule 8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The Genetically Modified Organisms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Contained Use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Regulations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2014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will include some measures that are required where and to the extent that the risk assessment shows they are required</w:t>
            </w:r>
          </w:p>
          <w:p w14:paraId="29861601" w14:textId="77777777" w:rsidR="006C1760" w:rsidRPr="009B5D7E" w:rsidRDefault="006C1760" w:rsidP="006C17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806F729" w14:textId="77777777" w:rsidR="006C1760" w:rsidRPr="009B5D7E" w:rsidRDefault="006C1760" w:rsidP="006C1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Additional measures may be necessary in any of the following circumstances:</w:t>
            </w:r>
          </w:p>
          <w:p w14:paraId="5E44AEB8" w14:textId="77777777" w:rsidR="006C1760" w:rsidRPr="009B5D7E" w:rsidRDefault="006C1760" w:rsidP="006C176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to take full account of any properties of the GMM that may be hazardous to human health.</w:t>
            </w:r>
          </w:p>
          <w:p w14:paraId="0BEFA5FC" w14:textId="77777777" w:rsidR="006C1760" w:rsidRPr="009B5D7E" w:rsidRDefault="006C1760" w:rsidP="006C176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(ii)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to protect the environment.</w:t>
            </w:r>
          </w:p>
          <w:p w14:paraId="03BF5F8F" w14:textId="77777777" w:rsidR="006C1760" w:rsidRPr="009B5D7E" w:rsidRDefault="006C1760" w:rsidP="006C176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(iii) </w:t>
            </w:r>
            <w:r w:rsidRPr="009B5D7E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to provide additional safeguards for particular work procedures.</w:t>
            </w:r>
          </w:p>
          <w:p w14:paraId="5FC1AE77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EE9F1" w14:textId="77777777" w:rsidR="006C1760" w:rsidRPr="000D03DB" w:rsidRDefault="00081D48" w:rsidP="00081D48">
            <w:pPr>
              <w:tabs>
                <w:tab w:val="left" w:pos="6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2718CCF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394E6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42223" w14:textId="77777777" w:rsidR="006C1760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E5662" w14:textId="77777777" w:rsidR="000051A7" w:rsidRDefault="000051A7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4B3E3" w14:textId="77777777" w:rsidR="000051A7" w:rsidRPr="000D03DB" w:rsidRDefault="000051A7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5CD7A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89C23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AA3E3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0B5E0A" w14:textId="77777777" w:rsidR="000051A7" w:rsidRDefault="000051A7" w:rsidP="003F770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020"/>
        <w:gridCol w:w="3021"/>
      </w:tblGrid>
      <w:tr w:rsidR="006C1760" w:rsidRPr="000D03DB" w14:paraId="07A51BC0" w14:textId="77777777" w:rsidTr="00866788">
        <w:tc>
          <w:tcPr>
            <w:tcW w:w="9468" w:type="dxa"/>
            <w:gridSpan w:val="3"/>
            <w:shd w:val="clear" w:color="auto" w:fill="B4C6E7"/>
          </w:tcPr>
          <w:p w14:paraId="362369F8" w14:textId="77777777" w:rsidR="006C1760" w:rsidRPr="000D03DB" w:rsidRDefault="006C1760" w:rsidP="00442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Part 3 </w:t>
            </w:r>
            <w:r w:rsidRPr="00AA0D47">
              <w:rPr>
                <w:rFonts w:ascii="Arial" w:hAnsi="Arial" w:cs="Arial"/>
                <w:b/>
                <w:bCs/>
                <w:lang w:val="en-US"/>
              </w:rPr>
              <w:t>Final assignment of containment measures and risk class</w:t>
            </w:r>
          </w:p>
        </w:tc>
      </w:tr>
      <w:tr w:rsidR="0044249F" w:rsidRPr="000D03DB" w14:paraId="406ED1E0" w14:textId="77777777" w:rsidTr="00866788">
        <w:tc>
          <w:tcPr>
            <w:tcW w:w="3261" w:type="dxa"/>
            <w:shd w:val="clear" w:color="auto" w:fill="D9E2F3"/>
          </w:tcPr>
          <w:p w14:paraId="64264141" w14:textId="77777777" w:rsidR="0044249F" w:rsidRPr="0044249F" w:rsidRDefault="0044249F" w:rsidP="0044249F">
            <w:pPr>
              <w:tabs>
                <w:tab w:val="right" w:pos="3045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4249F">
              <w:rPr>
                <w:rFonts w:ascii="Arial" w:hAnsi="Arial" w:cs="Arial"/>
                <w:b/>
                <w:sz w:val="22"/>
                <w:szCs w:val="22"/>
              </w:rPr>
              <w:t>Proposed Class</w:t>
            </w:r>
          </w:p>
        </w:tc>
        <w:tc>
          <w:tcPr>
            <w:tcW w:w="3103" w:type="dxa"/>
            <w:shd w:val="clear" w:color="auto" w:fill="auto"/>
          </w:tcPr>
          <w:p w14:paraId="2AA256C5" w14:textId="77777777" w:rsidR="0044249F" w:rsidRPr="0044249F" w:rsidRDefault="0044249F" w:rsidP="004424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30E79C95" w14:textId="77777777" w:rsidR="0044249F" w:rsidRPr="0044249F" w:rsidRDefault="0044249F" w:rsidP="004424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C1760" w:rsidRPr="000D03DB" w14:paraId="15D7679F" w14:textId="77777777" w:rsidTr="00866788">
        <w:tc>
          <w:tcPr>
            <w:tcW w:w="3261" w:type="dxa"/>
            <w:shd w:val="clear" w:color="auto" w:fill="D9E2F3"/>
          </w:tcPr>
          <w:p w14:paraId="76765EBB" w14:textId="77777777" w:rsidR="006C1760" w:rsidRPr="000D03DB" w:rsidRDefault="006C1760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03DB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275DCB" w:rsidRPr="000D03D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75DC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361D1C67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0D03DB" w14:paraId="7C2310FB" w14:textId="77777777" w:rsidTr="00866788">
        <w:tc>
          <w:tcPr>
            <w:tcW w:w="3261" w:type="dxa"/>
            <w:shd w:val="clear" w:color="auto" w:fill="D9E2F3"/>
          </w:tcPr>
          <w:p w14:paraId="03AF0E31" w14:textId="77777777" w:rsidR="006C1760" w:rsidRPr="000D03DB" w:rsidRDefault="006C1760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03DB">
              <w:rPr>
                <w:rFonts w:ascii="Arial" w:hAnsi="Arial" w:cs="Arial"/>
                <w:b/>
                <w:sz w:val="22"/>
                <w:szCs w:val="22"/>
              </w:rPr>
              <w:t>Date Signed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6DC00F97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0D03DB" w14:paraId="3C3C333B" w14:textId="77777777" w:rsidTr="00866788">
        <w:tc>
          <w:tcPr>
            <w:tcW w:w="3261" w:type="dxa"/>
            <w:shd w:val="clear" w:color="auto" w:fill="D9E2F3"/>
          </w:tcPr>
          <w:p w14:paraId="684F7A92" w14:textId="77777777" w:rsidR="006C1760" w:rsidRPr="000D03DB" w:rsidRDefault="006C1760" w:rsidP="008667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03DB">
              <w:rPr>
                <w:rFonts w:ascii="Arial" w:hAnsi="Arial" w:cs="Arial"/>
                <w:b/>
                <w:sz w:val="22"/>
                <w:szCs w:val="22"/>
              </w:rPr>
              <w:t>Date of Next Review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C1E29F3" w14:textId="77777777" w:rsidR="006C1760" w:rsidRPr="000D03DB" w:rsidRDefault="006C1760" w:rsidP="0086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86441C" w14:textId="77777777" w:rsidR="006C1760" w:rsidRDefault="006C1760" w:rsidP="006C176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5EFD2AA" w14:textId="77777777" w:rsidR="006C1760" w:rsidRPr="001735AF" w:rsidRDefault="006C1760" w:rsidP="006C1760">
      <w:pPr>
        <w:pStyle w:val="Heading6"/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1735AF">
        <w:rPr>
          <w:rFonts w:ascii="Arial" w:hAnsi="Arial" w:cs="Arial"/>
          <w:sz w:val="22"/>
          <w:szCs w:val="22"/>
        </w:rPr>
        <w:t>Laboratory Staff working on this project should sign a hard copy of the risk assessment before commencing work.  This should be held in the laboratory for reference.  All staff should be appropriately trained by the PI or</w:t>
      </w:r>
      <w:r>
        <w:rPr>
          <w:rFonts w:ascii="Arial" w:hAnsi="Arial" w:cs="Arial"/>
          <w:sz w:val="22"/>
          <w:szCs w:val="22"/>
        </w:rPr>
        <w:t xml:space="preserve"> other nominated person(s)</w:t>
      </w:r>
      <w:r w:rsidRPr="001735AF">
        <w:rPr>
          <w:rFonts w:ascii="Arial" w:hAnsi="Arial" w:cs="Arial"/>
          <w:sz w:val="22"/>
          <w:szCs w:val="22"/>
        </w:rPr>
        <w:t xml:space="preserve"> before commencing work.</w:t>
      </w:r>
    </w:p>
    <w:p w14:paraId="0C71C490" w14:textId="77777777" w:rsidR="006C1760" w:rsidRPr="001735AF" w:rsidRDefault="006C1760" w:rsidP="006C1760">
      <w:pPr>
        <w:jc w:val="both"/>
        <w:rPr>
          <w:sz w:val="22"/>
          <w:szCs w:val="22"/>
        </w:rPr>
      </w:pPr>
    </w:p>
    <w:p w14:paraId="038E8515" w14:textId="0730668E" w:rsidR="006C1760" w:rsidRPr="00BA041C" w:rsidRDefault="006C1760" w:rsidP="006C1760">
      <w:pPr>
        <w:jc w:val="both"/>
        <w:rPr>
          <w:rFonts w:ascii="Arial" w:hAnsi="Arial" w:cs="Arial"/>
          <w:sz w:val="22"/>
          <w:szCs w:val="22"/>
        </w:rPr>
      </w:pPr>
      <w:r w:rsidRPr="001735AF">
        <w:rPr>
          <w:rFonts w:ascii="Arial" w:hAnsi="Arial"/>
          <w:b/>
          <w:sz w:val="22"/>
          <w:szCs w:val="22"/>
        </w:rPr>
        <w:t xml:space="preserve">All staff working on this project </w:t>
      </w:r>
      <w:r>
        <w:rPr>
          <w:rFonts w:ascii="Arial" w:hAnsi="Arial"/>
          <w:b/>
          <w:sz w:val="22"/>
          <w:szCs w:val="22"/>
        </w:rPr>
        <w:t xml:space="preserve">must have completed the </w:t>
      </w:r>
      <w:hyperlink r:id="rId10" w:history="1">
        <w:r w:rsidRPr="00C54C4B">
          <w:rPr>
            <w:rStyle w:val="Hyperlink"/>
            <w:rFonts w:ascii="Arial" w:hAnsi="Arial"/>
            <w:b/>
            <w:sz w:val="22"/>
            <w:szCs w:val="22"/>
          </w:rPr>
          <w:t>BP1 and/or BP2 form</w:t>
        </w:r>
      </w:hyperlink>
      <w:r>
        <w:rPr>
          <w:rFonts w:ascii="Arial" w:hAnsi="Arial"/>
          <w:b/>
          <w:sz w:val="22"/>
          <w:szCs w:val="22"/>
        </w:rPr>
        <w:t xml:space="preserve"> as appropriate.</w:t>
      </w:r>
      <w:r w:rsidR="00275DCB">
        <w:rPr>
          <w:rFonts w:ascii="Arial" w:hAnsi="Arial"/>
          <w:b/>
          <w:sz w:val="22"/>
          <w:szCs w:val="22"/>
        </w:rPr>
        <w:t xml:space="preserve">  </w:t>
      </w:r>
      <w:r w:rsidR="00275DCB" w:rsidRPr="00AB5D48">
        <w:rPr>
          <w:rFonts w:ascii="Arial" w:hAnsi="Arial"/>
          <w:bCs/>
          <w:sz w:val="22"/>
          <w:szCs w:val="22"/>
        </w:rPr>
        <w:t>These forms can be accessed through Pegasus under the Human Resources tab</w:t>
      </w:r>
      <w:r w:rsidR="00275DCB">
        <w:rPr>
          <w:rFonts w:ascii="Arial" w:hAnsi="Arial"/>
          <w:bCs/>
          <w:sz w:val="22"/>
          <w:szCs w:val="22"/>
        </w:rPr>
        <w:t xml:space="preserve">.  </w:t>
      </w:r>
      <w:bookmarkStart w:id="0" w:name="_Hlk105404927"/>
      <w:r w:rsidR="00275DCB">
        <w:rPr>
          <w:rFonts w:ascii="Arial" w:hAnsi="Arial"/>
          <w:bCs/>
          <w:sz w:val="22"/>
          <w:szCs w:val="22"/>
        </w:rPr>
        <w:t xml:space="preserve">Further information including training requirements for working with biological and GM material can be found in the </w:t>
      </w:r>
      <w:hyperlink r:id="rId11" w:history="1">
        <w:r w:rsidR="00275DCB" w:rsidRPr="00275DCB">
          <w:rPr>
            <w:rStyle w:val="Hyperlink"/>
            <w:rFonts w:ascii="Arial" w:hAnsi="Arial"/>
            <w:bCs/>
            <w:sz w:val="22"/>
            <w:szCs w:val="22"/>
          </w:rPr>
          <w:t>OHS Biological Safety Standard</w:t>
        </w:r>
      </w:hyperlink>
      <w:r w:rsidR="00275DCB">
        <w:rPr>
          <w:rFonts w:ascii="Arial" w:hAnsi="Arial"/>
          <w:bCs/>
          <w:sz w:val="22"/>
          <w:szCs w:val="22"/>
        </w:rPr>
        <w:t xml:space="preserve"> and</w:t>
      </w:r>
      <w:r w:rsidR="00275DCB" w:rsidRPr="00BA041C">
        <w:rPr>
          <w:rFonts w:ascii="Arial" w:hAnsi="Arial"/>
          <w:bCs/>
          <w:sz w:val="22"/>
          <w:szCs w:val="22"/>
        </w:rPr>
        <w:t xml:space="preserve"> the </w:t>
      </w:r>
      <w:hyperlink r:id="rId12" w:history="1">
        <w:r w:rsidR="00275DCB" w:rsidRPr="00BA041C">
          <w:rPr>
            <w:rStyle w:val="Hyperlink"/>
            <w:rFonts w:ascii="Arial" w:hAnsi="Arial"/>
            <w:bCs/>
            <w:sz w:val="22"/>
            <w:szCs w:val="22"/>
          </w:rPr>
          <w:t>OHS GM Standar</w:t>
        </w:r>
        <w:r w:rsidR="001E7367" w:rsidRPr="00BA041C">
          <w:rPr>
            <w:rStyle w:val="Hyperlink"/>
            <w:rFonts w:ascii="Arial" w:hAnsi="Arial"/>
            <w:bCs/>
            <w:sz w:val="22"/>
            <w:szCs w:val="22"/>
          </w:rPr>
          <w:t>d</w:t>
        </w:r>
      </w:hyperlink>
      <w:r w:rsidR="00275DCB" w:rsidRPr="00BA041C">
        <w:rPr>
          <w:rFonts w:ascii="Arial" w:hAnsi="Arial"/>
          <w:bCs/>
          <w:sz w:val="22"/>
          <w:szCs w:val="22"/>
        </w:rPr>
        <w:t xml:space="preserve">.  </w:t>
      </w:r>
      <w:bookmarkEnd w:id="0"/>
    </w:p>
    <w:p w14:paraId="0D943606" w14:textId="77777777" w:rsidR="006C1760" w:rsidRPr="00F77285" w:rsidRDefault="006C1760" w:rsidP="006C1760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136"/>
        <w:gridCol w:w="3099"/>
      </w:tblGrid>
      <w:tr w:rsidR="006C1760" w:rsidRPr="00FB42B8" w14:paraId="4A014F69" w14:textId="77777777" w:rsidTr="00866788">
        <w:trPr>
          <w:trHeight w:val="470"/>
        </w:trPr>
        <w:tc>
          <w:tcPr>
            <w:tcW w:w="3084" w:type="dxa"/>
            <w:shd w:val="clear" w:color="auto" w:fill="B4C6E7"/>
          </w:tcPr>
          <w:p w14:paraId="09E92AEC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2B8">
              <w:rPr>
                <w:rFonts w:ascii="Arial" w:hAnsi="Arial" w:cs="Arial"/>
                <w:b/>
                <w:sz w:val="28"/>
                <w:szCs w:val="28"/>
              </w:rPr>
              <w:t>NAME (PRINT)</w:t>
            </w:r>
          </w:p>
        </w:tc>
        <w:tc>
          <w:tcPr>
            <w:tcW w:w="3192" w:type="dxa"/>
            <w:shd w:val="clear" w:color="auto" w:fill="B4C6E7"/>
          </w:tcPr>
          <w:p w14:paraId="51204FB0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2B8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3192" w:type="dxa"/>
            <w:shd w:val="clear" w:color="auto" w:fill="B4C6E7"/>
          </w:tcPr>
          <w:p w14:paraId="5F9DF65E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2B8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6C1760" w:rsidRPr="00FB42B8" w14:paraId="05D5C143" w14:textId="77777777" w:rsidTr="00866788">
        <w:tc>
          <w:tcPr>
            <w:tcW w:w="3084" w:type="dxa"/>
          </w:tcPr>
          <w:p w14:paraId="2F505220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376B6D71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2F525D65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218456B3" w14:textId="77777777" w:rsidTr="00866788">
        <w:tc>
          <w:tcPr>
            <w:tcW w:w="3084" w:type="dxa"/>
          </w:tcPr>
          <w:p w14:paraId="7463EB72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384C78E3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68C67BB2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2FBF947B" w14:textId="77777777" w:rsidTr="00866788">
        <w:tc>
          <w:tcPr>
            <w:tcW w:w="3084" w:type="dxa"/>
          </w:tcPr>
          <w:p w14:paraId="6CFECE3E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063B09BA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21F0D8F3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70EFEB10" w14:textId="77777777" w:rsidTr="00866788">
        <w:tc>
          <w:tcPr>
            <w:tcW w:w="3084" w:type="dxa"/>
          </w:tcPr>
          <w:p w14:paraId="63B000FB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229644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33EB9CEC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4FFE3364" w14:textId="77777777" w:rsidTr="00866788">
        <w:tc>
          <w:tcPr>
            <w:tcW w:w="3084" w:type="dxa"/>
          </w:tcPr>
          <w:p w14:paraId="3F19C324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5A601F82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34A5997E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427B2FF7" w14:textId="77777777" w:rsidTr="00866788">
        <w:tc>
          <w:tcPr>
            <w:tcW w:w="3084" w:type="dxa"/>
          </w:tcPr>
          <w:p w14:paraId="66065B24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1CE36FCA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5C444796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3D0EDA03" w14:textId="77777777" w:rsidTr="00866788">
        <w:tc>
          <w:tcPr>
            <w:tcW w:w="3084" w:type="dxa"/>
          </w:tcPr>
          <w:p w14:paraId="0AEBF4D8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191CBB58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7E4BCD45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7351C846" w14:textId="77777777" w:rsidTr="00866788">
        <w:tc>
          <w:tcPr>
            <w:tcW w:w="3084" w:type="dxa"/>
          </w:tcPr>
          <w:p w14:paraId="7DCE67FF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78A9B4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1A135933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247D019D" w14:textId="77777777" w:rsidTr="00866788">
        <w:tc>
          <w:tcPr>
            <w:tcW w:w="3084" w:type="dxa"/>
          </w:tcPr>
          <w:p w14:paraId="237D21F6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8CB003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3A492E2B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3CFAA8C6" w14:textId="77777777" w:rsidTr="00866788">
        <w:tc>
          <w:tcPr>
            <w:tcW w:w="3084" w:type="dxa"/>
          </w:tcPr>
          <w:p w14:paraId="6AB39D47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A5A44F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789D134F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60" w:rsidRPr="00FB42B8" w14:paraId="59F05B6F" w14:textId="77777777" w:rsidTr="00866788">
        <w:tc>
          <w:tcPr>
            <w:tcW w:w="3084" w:type="dxa"/>
          </w:tcPr>
          <w:p w14:paraId="77297D22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0DB26CF4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14:paraId="110A79D3" w14:textId="77777777" w:rsidR="006C1760" w:rsidRPr="00FB42B8" w:rsidRDefault="006C1760" w:rsidP="0086678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F08B9C" w14:textId="77777777" w:rsidR="006C1760" w:rsidRDefault="006C1760" w:rsidP="006C1760"/>
    <w:p w14:paraId="4B28DB27" w14:textId="77777777" w:rsidR="001735AF" w:rsidRPr="001735AF" w:rsidRDefault="001735AF" w:rsidP="001735AF"/>
    <w:sectPr w:rsidR="001735AF" w:rsidRPr="001735AF" w:rsidSect="00B85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FB89" w14:textId="77777777" w:rsidR="00D4551E" w:rsidRDefault="00D4551E">
      <w:r>
        <w:separator/>
      </w:r>
    </w:p>
  </w:endnote>
  <w:endnote w:type="continuationSeparator" w:id="0">
    <w:p w14:paraId="3D0D2941" w14:textId="77777777" w:rsidR="00D4551E" w:rsidRDefault="00D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948" w14:textId="77777777" w:rsidR="00B1477D" w:rsidRDefault="00B1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513" w14:textId="77777777" w:rsidR="00CF4C30" w:rsidRPr="00CF4C30" w:rsidRDefault="00CF4C30" w:rsidP="00CF4C30">
    <w:pPr>
      <w:tabs>
        <w:tab w:val="center" w:pos="4513"/>
        <w:tab w:val="right" w:pos="9026"/>
      </w:tabs>
      <w:rPr>
        <w:rFonts w:ascii="Arial" w:hAnsi="Arial" w:cs="Arial"/>
        <w:color w:val="000000"/>
        <w:sz w:val="12"/>
        <w:szCs w:val="12"/>
      </w:rPr>
    </w:pPr>
    <w:r w:rsidRPr="00CF4C30">
      <w:rPr>
        <w:rFonts w:ascii="Arial" w:hAnsi="Arial" w:cs="Arial"/>
        <w:sz w:val="12"/>
        <w:szCs w:val="12"/>
      </w:rPr>
      <w:t xml:space="preserve">OHSOS </w:t>
    </w:r>
    <w:r w:rsidR="008D0BE3">
      <w:rPr>
        <w:rFonts w:ascii="Arial" w:hAnsi="Arial" w:cs="Arial"/>
        <w:sz w:val="12"/>
        <w:szCs w:val="12"/>
      </w:rPr>
      <w:t>023/F002</w:t>
    </w:r>
    <w:r w:rsidRPr="00CF4C30">
      <w:rPr>
        <w:rFonts w:ascii="Arial" w:hAnsi="Arial" w:cs="Arial"/>
        <w:sz w:val="12"/>
        <w:szCs w:val="12"/>
      </w:rPr>
      <w:t xml:space="preserve"> v1.0                                                                                              </w:t>
    </w:r>
    <w:r w:rsidRPr="00CF4C30">
      <w:rPr>
        <w:rFonts w:ascii="Arial" w:hAnsi="Arial" w:cs="Arial"/>
        <w:color w:val="000000"/>
        <w:sz w:val="12"/>
        <w:szCs w:val="12"/>
      </w:rPr>
      <w:t xml:space="preserve">Owner: Head, SHaW                                 </w:t>
    </w:r>
    <w:r w:rsidRPr="00CF4C30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        Page </w:t>
    </w:r>
    <w:r w:rsidRPr="00CF4C30">
      <w:rPr>
        <w:rFonts w:ascii="Arial" w:hAnsi="Arial" w:cs="Arial"/>
        <w:color w:val="000000"/>
        <w:sz w:val="12"/>
        <w:szCs w:val="12"/>
      </w:rPr>
      <w:fldChar w:fldCharType="begin"/>
    </w:r>
    <w:r w:rsidRPr="00CF4C30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CF4C30">
      <w:rPr>
        <w:rFonts w:ascii="Arial" w:hAnsi="Arial" w:cs="Arial"/>
        <w:color w:val="000000"/>
        <w:sz w:val="12"/>
        <w:szCs w:val="12"/>
      </w:rPr>
      <w:fldChar w:fldCharType="separate"/>
    </w:r>
    <w:r w:rsidRPr="00CF4C30">
      <w:rPr>
        <w:rFonts w:ascii="Arial" w:hAnsi="Arial" w:cs="Arial"/>
        <w:color w:val="000000"/>
        <w:sz w:val="12"/>
        <w:szCs w:val="12"/>
      </w:rPr>
      <w:t>2</w:t>
    </w:r>
    <w:r w:rsidRPr="00CF4C30">
      <w:rPr>
        <w:rFonts w:ascii="Arial" w:hAnsi="Arial" w:cs="Arial"/>
        <w:color w:val="000000"/>
        <w:sz w:val="12"/>
        <w:szCs w:val="12"/>
      </w:rPr>
      <w:fldChar w:fldCharType="end"/>
    </w:r>
    <w:r w:rsidRPr="00CF4C30">
      <w:rPr>
        <w:rFonts w:ascii="Arial" w:hAnsi="Arial" w:cs="Arial"/>
        <w:color w:val="000000"/>
        <w:sz w:val="12"/>
        <w:szCs w:val="12"/>
      </w:rPr>
      <w:t xml:space="preserve"> of </w:t>
    </w:r>
    <w:r w:rsidRPr="00CF4C30">
      <w:rPr>
        <w:rFonts w:ascii="Arial" w:hAnsi="Arial" w:cs="Arial"/>
        <w:color w:val="000000"/>
        <w:sz w:val="12"/>
        <w:szCs w:val="12"/>
      </w:rPr>
      <w:fldChar w:fldCharType="begin"/>
    </w:r>
    <w:r w:rsidRPr="00CF4C30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CF4C30">
      <w:rPr>
        <w:rFonts w:ascii="Arial" w:hAnsi="Arial" w:cs="Arial"/>
        <w:color w:val="000000"/>
        <w:sz w:val="12"/>
        <w:szCs w:val="12"/>
      </w:rPr>
      <w:fldChar w:fldCharType="separate"/>
    </w:r>
    <w:r w:rsidRPr="00CF4C30">
      <w:rPr>
        <w:rFonts w:ascii="Arial" w:hAnsi="Arial" w:cs="Arial"/>
        <w:color w:val="000000"/>
        <w:sz w:val="12"/>
        <w:szCs w:val="12"/>
      </w:rPr>
      <w:t>14</w:t>
    </w:r>
    <w:r w:rsidRPr="00CF4C30">
      <w:rPr>
        <w:rFonts w:ascii="Arial" w:hAnsi="Arial" w:cs="Arial"/>
        <w:color w:val="000000"/>
        <w:sz w:val="12"/>
        <w:szCs w:val="12"/>
      </w:rPr>
      <w:fldChar w:fldCharType="end"/>
    </w:r>
  </w:p>
  <w:p w14:paraId="18B72204" w14:textId="77777777" w:rsidR="00CF4C30" w:rsidRPr="00CF4C30" w:rsidRDefault="00CF4C30" w:rsidP="00CF4C30">
    <w:pPr>
      <w:tabs>
        <w:tab w:val="center" w:pos="4513"/>
        <w:tab w:val="right" w:pos="9026"/>
      </w:tabs>
      <w:ind w:left="-993"/>
      <w:rPr>
        <w:rFonts w:ascii="Arial" w:hAnsi="Arial" w:cs="Arial"/>
        <w:color w:val="000000"/>
        <w:sz w:val="12"/>
        <w:szCs w:val="12"/>
      </w:rPr>
    </w:pPr>
    <w:r w:rsidRPr="00CF4C30">
      <w:rPr>
        <w:rFonts w:ascii="Arial" w:hAnsi="Arial" w:cs="Arial"/>
        <w:color w:val="000000"/>
        <w:sz w:val="12"/>
        <w:szCs w:val="12"/>
      </w:rPr>
      <w:t xml:space="preserve">                              Issue date: </w:t>
    </w:r>
    <w:r w:rsidR="008D0BE3">
      <w:rPr>
        <w:rFonts w:ascii="Arial" w:hAnsi="Arial" w:cs="Arial"/>
        <w:color w:val="000000"/>
        <w:sz w:val="12"/>
        <w:szCs w:val="12"/>
      </w:rPr>
      <w:t>20/09/2022</w:t>
    </w:r>
    <w:r w:rsidRPr="00CF4C30">
      <w:rPr>
        <w:rFonts w:ascii="Arial" w:hAnsi="Arial" w:cs="Arial"/>
        <w:color w:val="000000"/>
        <w:sz w:val="12"/>
        <w:szCs w:val="12"/>
      </w:rPr>
      <w:t xml:space="preserve">    </w:t>
    </w:r>
    <w:r w:rsidRPr="00CF4C30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                    Last review date: </w:t>
    </w:r>
    <w:r w:rsidR="008D0BE3">
      <w:rPr>
        <w:rFonts w:ascii="Arial" w:hAnsi="Arial" w:cs="Arial"/>
        <w:color w:val="000000"/>
        <w:sz w:val="12"/>
        <w:szCs w:val="12"/>
      </w:rPr>
      <w:t>20/09/2022</w:t>
    </w:r>
    <w:r w:rsidRPr="00CF4C30">
      <w:rPr>
        <w:rFonts w:ascii="Arial" w:hAnsi="Arial" w:cs="Arial"/>
        <w:color w:val="000000"/>
        <w:sz w:val="12"/>
        <w:szCs w:val="12"/>
      </w:rPr>
      <w:t xml:space="preserve">                                                           Next review date: </w:t>
    </w:r>
    <w:r w:rsidR="008D0BE3">
      <w:rPr>
        <w:rFonts w:ascii="Arial" w:hAnsi="Arial" w:cs="Arial"/>
        <w:color w:val="000000"/>
        <w:sz w:val="12"/>
        <w:szCs w:val="12"/>
      </w:rPr>
      <w:t>20/09/2025</w:t>
    </w:r>
  </w:p>
  <w:p w14:paraId="44A0AD73" w14:textId="77777777" w:rsidR="00CF4C30" w:rsidRPr="00CF4C30" w:rsidRDefault="00CF4C30" w:rsidP="00CF4C30">
    <w:pPr>
      <w:tabs>
        <w:tab w:val="center" w:pos="4513"/>
        <w:tab w:val="right" w:pos="9026"/>
      </w:tabs>
      <w:ind w:left="-993"/>
      <w:rPr>
        <w:rFonts w:ascii="Arial" w:hAnsi="Arial" w:cs="Arial"/>
        <w:color w:val="000000"/>
        <w:sz w:val="12"/>
        <w:szCs w:val="12"/>
      </w:rPr>
    </w:pPr>
    <w:r w:rsidRPr="00CF4C30">
      <w:rPr>
        <w:rFonts w:ascii="Arial" w:hAnsi="Arial" w:cs="Arial"/>
        <w:color w:val="000000"/>
        <w:sz w:val="12"/>
        <w:szCs w:val="12"/>
      </w:rPr>
      <w:t xml:space="preserve">   </w:t>
    </w:r>
  </w:p>
  <w:p w14:paraId="632ADEE1" w14:textId="77777777" w:rsidR="00CF4C30" w:rsidRPr="00CF4C30" w:rsidRDefault="00CF4C30" w:rsidP="00CF4C30">
    <w:pPr>
      <w:tabs>
        <w:tab w:val="center" w:pos="4513"/>
        <w:tab w:val="right" w:pos="9026"/>
      </w:tabs>
      <w:ind w:left="-993"/>
      <w:rPr>
        <w:rFonts w:ascii="Arial" w:hAnsi="Arial" w:cs="Arial"/>
        <w:color w:val="000000"/>
        <w:sz w:val="12"/>
        <w:szCs w:val="12"/>
      </w:rPr>
    </w:pPr>
    <w:r w:rsidRPr="00CF4C30">
      <w:rPr>
        <w:rFonts w:ascii="Arial" w:hAnsi="Arial" w:cs="Arial"/>
        <w:color w:val="000000"/>
        <w:sz w:val="12"/>
        <w:szCs w:val="12"/>
      </w:rPr>
      <w:t xml:space="preserve">                                                This document is uncontrolled when printed – for the latest version of this document please go to</w:t>
    </w:r>
    <w:r w:rsidRPr="00CF4C30">
      <w:rPr>
        <w:rFonts w:ascii="Arial" w:hAnsi="Arial" w:cs="Arial"/>
        <w:sz w:val="12"/>
        <w:szCs w:val="12"/>
      </w:rPr>
      <w:t xml:space="preserve"> </w:t>
    </w:r>
    <w:hyperlink r:id="rId1" w:history="1">
      <w:r w:rsidRPr="00CF4C30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  <w:r w:rsidRPr="00CF4C30">
      <w:rPr>
        <w:rFonts w:ascii="Arial" w:hAnsi="Arial" w:cs="Arial"/>
        <w:color w:val="00000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E412" w14:textId="77777777" w:rsidR="00B1477D" w:rsidRDefault="00B1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A4A3" w14:textId="77777777" w:rsidR="00D4551E" w:rsidRDefault="00D4551E">
      <w:r>
        <w:separator/>
      </w:r>
    </w:p>
  </w:footnote>
  <w:footnote w:type="continuationSeparator" w:id="0">
    <w:p w14:paraId="3936F411" w14:textId="77777777" w:rsidR="00D4551E" w:rsidRDefault="00D4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B5FD" w14:textId="77777777" w:rsidR="00B1477D" w:rsidRDefault="00B1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1948" w14:textId="77777777" w:rsidR="003603F5" w:rsidRPr="00B23FB0" w:rsidRDefault="003603F5" w:rsidP="00B23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AFE5" w14:textId="77777777" w:rsidR="00B1477D" w:rsidRDefault="00B1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1A4C"/>
    <w:multiLevelType w:val="hybridMultilevel"/>
    <w:tmpl w:val="6BD8A108"/>
    <w:lvl w:ilvl="0" w:tplc="801E5BD4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4"/>
    <w:rsid w:val="000051A7"/>
    <w:rsid w:val="0008149B"/>
    <w:rsid w:val="00081D48"/>
    <w:rsid w:val="000D752A"/>
    <w:rsid w:val="000F6E04"/>
    <w:rsid w:val="001210AB"/>
    <w:rsid w:val="001410FB"/>
    <w:rsid w:val="00151A29"/>
    <w:rsid w:val="00155D64"/>
    <w:rsid w:val="00156C5C"/>
    <w:rsid w:val="001735AF"/>
    <w:rsid w:val="001D1F36"/>
    <w:rsid w:val="001D56C4"/>
    <w:rsid w:val="001E7367"/>
    <w:rsid w:val="001F647F"/>
    <w:rsid w:val="001F6B05"/>
    <w:rsid w:val="00204371"/>
    <w:rsid w:val="00213628"/>
    <w:rsid w:val="00217E20"/>
    <w:rsid w:val="002253BD"/>
    <w:rsid w:val="00237E5A"/>
    <w:rsid w:val="00255200"/>
    <w:rsid w:val="00275DCB"/>
    <w:rsid w:val="00282744"/>
    <w:rsid w:val="002A480C"/>
    <w:rsid w:val="002C0521"/>
    <w:rsid w:val="002C1C3A"/>
    <w:rsid w:val="002F00A0"/>
    <w:rsid w:val="00311071"/>
    <w:rsid w:val="00323DC6"/>
    <w:rsid w:val="00344C0B"/>
    <w:rsid w:val="0035431B"/>
    <w:rsid w:val="003603F5"/>
    <w:rsid w:val="0039582A"/>
    <w:rsid w:val="003A3C51"/>
    <w:rsid w:val="003B0022"/>
    <w:rsid w:val="003C2C3A"/>
    <w:rsid w:val="003C71A3"/>
    <w:rsid w:val="003E46C6"/>
    <w:rsid w:val="003F7704"/>
    <w:rsid w:val="00405E5D"/>
    <w:rsid w:val="00422F9E"/>
    <w:rsid w:val="0044249F"/>
    <w:rsid w:val="004617BB"/>
    <w:rsid w:val="00465D30"/>
    <w:rsid w:val="004775E2"/>
    <w:rsid w:val="00483B0E"/>
    <w:rsid w:val="004B6AFC"/>
    <w:rsid w:val="004B733C"/>
    <w:rsid w:val="004C2AEA"/>
    <w:rsid w:val="005128DA"/>
    <w:rsid w:val="005130C8"/>
    <w:rsid w:val="005319E6"/>
    <w:rsid w:val="005411A4"/>
    <w:rsid w:val="0060118C"/>
    <w:rsid w:val="00621E98"/>
    <w:rsid w:val="00630468"/>
    <w:rsid w:val="00692C0E"/>
    <w:rsid w:val="006A499D"/>
    <w:rsid w:val="006B677C"/>
    <w:rsid w:val="006B7C6F"/>
    <w:rsid w:val="006C1760"/>
    <w:rsid w:val="006D3091"/>
    <w:rsid w:val="00721556"/>
    <w:rsid w:val="00747547"/>
    <w:rsid w:val="007B0928"/>
    <w:rsid w:val="007F6CE3"/>
    <w:rsid w:val="00807743"/>
    <w:rsid w:val="008200F6"/>
    <w:rsid w:val="00834CEC"/>
    <w:rsid w:val="00835D40"/>
    <w:rsid w:val="008559CF"/>
    <w:rsid w:val="00866788"/>
    <w:rsid w:val="00883ACE"/>
    <w:rsid w:val="008B6031"/>
    <w:rsid w:val="008D0BE3"/>
    <w:rsid w:val="00917538"/>
    <w:rsid w:val="00932102"/>
    <w:rsid w:val="00957A58"/>
    <w:rsid w:val="00960CF0"/>
    <w:rsid w:val="009C0F17"/>
    <w:rsid w:val="009D7EB1"/>
    <w:rsid w:val="009E1758"/>
    <w:rsid w:val="00A05D02"/>
    <w:rsid w:val="00A16497"/>
    <w:rsid w:val="00A324CC"/>
    <w:rsid w:val="00A40D21"/>
    <w:rsid w:val="00A661AA"/>
    <w:rsid w:val="00A83672"/>
    <w:rsid w:val="00A964EB"/>
    <w:rsid w:val="00AD1941"/>
    <w:rsid w:val="00AD55B4"/>
    <w:rsid w:val="00B1477D"/>
    <w:rsid w:val="00B20A38"/>
    <w:rsid w:val="00B23FB0"/>
    <w:rsid w:val="00B6520A"/>
    <w:rsid w:val="00B67A5B"/>
    <w:rsid w:val="00B711E9"/>
    <w:rsid w:val="00B72F87"/>
    <w:rsid w:val="00B85E08"/>
    <w:rsid w:val="00B92CA5"/>
    <w:rsid w:val="00BA041C"/>
    <w:rsid w:val="00BA0E68"/>
    <w:rsid w:val="00BC7705"/>
    <w:rsid w:val="00BD3D8C"/>
    <w:rsid w:val="00BE5FB2"/>
    <w:rsid w:val="00C6356F"/>
    <w:rsid w:val="00CF4C30"/>
    <w:rsid w:val="00D0205B"/>
    <w:rsid w:val="00D02124"/>
    <w:rsid w:val="00D0212A"/>
    <w:rsid w:val="00D273F5"/>
    <w:rsid w:val="00D32939"/>
    <w:rsid w:val="00D429D0"/>
    <w:rsid w:val="00D43C2F"/>
    <w:rsid w:val="00D4551E"/>
    <w:rsid w:val="00DB60D8"/>
    <w:rsid w:val="00DE203B"/>
    <w:rsid w:val="00DF3A83"/>
    <w:rsid w:val="00DF4AFA"/>
    <w:rsid w:val="00E30094"/>
    <w:rsid w:val="00E63943"/>
    <w:rsid w:val="00E977AB"/>
    <w:rsid w:val="00EA0F51"/>
    <w:rsid w:val="00EF48F7"/>
    <w:rsid w:val="00F03B93"/>
    <w:rsid w:val="00F14253"/>
    <w:rsid w:val="00F17DAC"/>
    <w:rsid w:val="00F2217F"/>
    <w:rsid w:val="00F315A6"/>
    <w:rsid w:val="00F42935"/>
    <w:rsid w:val="00F73616"/>
    <w:rsid w:val="00F81F62"/>
    <w:rsid w:val="00F83F8B"/>
    <w:rsid w:val="00FB7A82"/>
    <w:rsid w:val="00FC3243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FE727"/>
  <w15:chartTrackingRefBased/>
  <w15:docId w15:val="{44C85D8C-4A0E-45C5-BF57-1EC1798F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704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3F7704"/>
    <w:pPr>
      <w:keepNext/>
      <w:tabs>
        <w:tab w:val="left" w:pos="360"/>
      </w:tabs>
      <w:autoSpaceDE w:val="0"/>
      <w:autoSpaceDN w:val="0"/>
      <w:adjustRightInd w:val="0"/>
      <w:outlineLvl w:val="5"/>
    </w:pPr>
    <w:rPr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70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F7704"/>
    <w:pPr>
      <w:autoSpaceDE w:val="0"/>
      <w:autoSpaceDN w:val="0"/>
      <w:adjustRightInd w:val="0"/>
    </w:pPr>
    <w:rPr>
      <w:b/>
      <w:lang w:val="en-US"/>
    </w:rPr>
  </w:style>
  <w:style w:type="paragraph" w:styleId="Footer">
    <w:name w:val="footer"/>
    <w:basedOn w:val="Normal"/>
    <w:rsid w:val="003F77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F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7704"/>
    <w:rPr>
      <w:rFonts w:ascii="Tahoma" w:hAnsi="Tahoma" w:cs="Tahoma"/>
      <w:sz w:val="16"/>
      <w:szCs w:val="16"/>
    </w:rPr>
  </w:style>
  <w:style w:type="character" w:styleId="Hyperlink">
    <w:name w:val="Hyperlink"/>
    <w:rsid w:val="001D1F36"/>
    <w:rPr>
      <w:color w:val="0000FF"/>
      <w:u w:val="single"/>
    </w:rPr>
  </w:style>
  <w:style w:type="character" w:styleId="FollowedHyperlink">
    <w:name w:val="FollowedHyperlink"/>
    <w:rsid w:val="00B1477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5E08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B85E08"/>
    <w:rPr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B85E0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85E08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C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misc208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rath.ac.uk/media/ps/safetyservices/campusonly/standards/geneticmodification/OHS_Standard_-_Genetic_Modification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th.ac.uk/safetyservices/documentationforms/ohsoperationalcontrolstandards/biologicalsafet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en.mis.strath.ac.uk/log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pubns/misc208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Strathclyde</Company>
  <LinksUpToDate>false</LinksUpToDate>
  <CharactersWithSpaces>7029</CharactersWithSpaces>
  <SharedDoc>false</SharedDoc>
  <HLinks>
    <vt:vector size="30" baseType="variant">
      <vt:variant>
        <vt:i4>7471219</vt:i4>
      </vt:variant>
      <vt:variant>
        <vt:i4>9</vt:i4>
      </vt:variant>
      <vt:variant>
        <vt:i4>0</vt:i4>
      </vt:variant>
      <vt:variant>
        <vt:i4>5</vt:i4>
      </vt:variant>
      <vt:variant>
        <vt:lpwstr>https://www.strath.ac.uk/safetyservices/documentationforms/ohsoperationalcontrolstandards/biologicalsafety/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https://ben.mis.strath.ac.uk/login/</vt:lpwstr>
      </vt:variant>
      <vt:variant>
        <vt:lpwstr/>
      </vt:variant>
      <vt:variant>
        <vt:i4>2687010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http://www.hse.gov.uk/pubns/misc208.pdf</vt:lpwstr>
      </vt:variant>
      <vt:variant>
        <vt:lpwstr/>
      </vt:variant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http://www.hse.gov.uk/pubns/misc208.pdf</vt:lpwstr>
      </vt:variant>
      <vt:variant>
        <vt:lpwstr/>
      </vt:variant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https://www.strath.ac.uk/safetyhealthwellbeing/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 Pyne</dc:creator>
  <cp:keywords/>
  <cp:lastModifiedBy>Sarah Carroll</cp:lastModifiedBy>
  <cp:revision>3</cp:revision>
  <dcterms:created xsi:type="dcterms:W3CDTF">2022-09-22T15:27:00Z</dcterms:created>
  <dcterms:modified xsi:type="dcterms:W3CDTF">2022-09-27T14:43:00Z</dcterms:modified>
</cp:coreProperties>
</file>